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A88DE">
      <w:pPr>
        <w:pStyle w:val="24"/>
        <w:ind w:firstLine="0" w:firstLineChars="0"/>
        <w:rPr>
          <w:rFonts w:hint="eastAsia" w:eastAsia="黑体"/>
          <w:color w:val="000000"/>
          <w:lang w:eastAsia="zh-CN"/>
        </w:rPr>
      </w:pPr>
      <w:r>
        <w:rPr>
          <w:rFonts w:eastAsia="黑体"/>
          <w:color w:val="000000"/>
        </w:rPr>
        <w:t>津工信财〔202</w:t>
      </w:r>
      <w:r>
        <w:rPr>
          <w:rFonts w:hint="eastAsia" w:eastAsia="黑体"/>
          <w:color w:val="000000"/>
          <w:lang w:val="en-US" w:eastAsia="zh-CN"/>
        </w:rPr>
        <w:t>6</w:t>
      </w:r>
      <w:r>
        <w:rPr>
          <w:rFonts w:eastAsia="黑体"/>
          <w:color w:val="000000"/>
        </w:rPr>
        <w:t>〕</w:t>
      </w:r>
      <w:r>
        <w:rPr>
          <w:rFonts w:hint="eastAsia" w:eastAsia="黑体"/>
          <w:color w:val="000000"/>
          <w:lang w:val="en-US" w:eastAsia="zh-CN"/>
        </w:rPr>
        <w:t>5</w:t>
      </w:r>
      <w:r>
        <w:rPr>
          <w:rFonts w:eastAsia="黑体"/>
          <w:color w:val="000000"/>
        </w:rPr>
        <w:t>号附件</w:t>
      </w:r>
      <w:r>
        <w:rPr>
          <w:rFonts w:hint="eastAsia" w:eastAsia="黑体"/>
          <w:color w:val="000000"/>
          <w:lang w:val="en-US" w:eastAsia="zh-CN"/>
        </w:rPr>
        <w:t>9</w:t>
      </w:r>
    </w:p>
    <w:p w14:paraId="77577AFA">
      <w:pPr>
        <w:adjustRightInd w:val="0"/>
        <w:snapToGrid w:val="0"/>
        <w:spacing w:line="560" w:lineRule="exact"/>
        <w:rPr>
          <w:rFonts w:ascii="仿宋_GB2312" w:eastAsia="仿宋_GB2312"/>
          <w:sz w:val="32"/>
          <w:szCs w:val="32"/>
        </w:rPr>
      </w:pPr>
    </w:p>
    <w:p w14:paraId="2DB073AB">
      <w:pPr>
        <w:pStyle w:val="24"/>
        <w:ind w:firstLine="0" w:firstLineChars="0"/>
        <w:jc w:val="center"/>
        <w:rPr>
          <w:rFonts w:eastAsia="方正小标宋简体"/>
          <w:sz w:val="44"/>
          <w:szCs w:val="52"/>
        </w:rPr>
      </w:pPr>
      <w:r>
        <w:rPr>
          <w:rFonts w:eastAsia="方正小标宋简体"/>
          <w:color w:val="000000"/>
          <w:sz w:val="44"/>
          <w:szCs w:val="44"/>
          <w:lang w:bidi="zh-CN"/>
        </w:rPr>
        <w:t>202</w:t>
      </w:r>
      <w:r>
        <w:rPr>
          <w:rFonts w:hint="default" w:eastAsia="方正小标宋简体"/>
          <w:color w:val="000000"/>
          <w:sz w:val="44"/>
          <w:szCs w:val="44"/>
          <w:lang w:val="en-US" w:bidi="zh-CN"/>
        </w:rPr>
        <w:t>6</w:t>
      </w:r>
      <w:r>
        <w:rPr>
          <w:rFonts w:eastAsia="方正小标宋简体"/>
          <w:color w:val="000000"/>
          <w:sz w:val="44"/>
          <w:szCs w:val="44"/>
          <w:lang w:bidi="zh-CN"/>
        </w:rPr>
        <w:t>年</w:t>
      </w:r>
      <w:r>
        <w:rPr>
          <w:rFonts w:hint="eastAsia" w:eastAsia="方正小标宋简体"/>
          <w:color w:val="000000"/>
          <w:sz w:val="44"/>
          <w:szCs w:val="44"/>
          <w:lang w:bidi="zh-CN"/>
        </w:rPr>
        <w:t>第一批</w:t>
      </w:r>
      <w:r>
        <w:rPr>
          <w:rFonts w:eastAsia="方正小标宋简体"/>
          <w:sz w:val="44"/>
          <w:szCs w:val="52"/>
        </w:rPr>
        <w:t>天津市制造业</w:t>
      </w:r>
      <w:r>
        <w:rPr>
          <w:rFonts w:hint="eastAsia" w:eastAsia="方正小标宋简体"/>
          <w:sz w:val="44"/>
          <w:szCs w:val="52"/>
        </w:rPr>
        <w:t>高质量发展专项</w:t>
      </w:r>
    </w:p>
    <w:p w14:paraId="2C793C3C">
      <w:pPr>
        <w:pStyle w:val="24"/>
        <w:ind w:firstLine="0" w:firstLineChars="0"/>
        <w:jc w:val="center"/>
        <w:rPr>
          <w:rFonts w:eastAsia="方正小标宋简体"/>
          <w:color w:val="000000"/>
          <w:sz w:val="44"/>
          <w:szCs w:val="44"/>
          <w:lang w:bidi="zh-CN"/>
        </w:rPr>
      </w:pPr>
      <w:r>
        <w:rPr>
          <w:rFonts w:eastAsia="方正小标宋简体"/>
          <w:color w:val="000000"/>
          <w:sz w:val="44"/>
          <w:szCs w:val="44"/>
          <w:lang w:bidi="zh-CN"/>
        </w:rPr>
        <w:t>支持</w:t>
      </w:r>
      <w:r>
        <w:rPr>
          <w:rFonts w:hint="eastAsia" w:eastAsia="方正小标宋简体"/>
          <w:color w:val="000000"/>
          <w:sz w:val="44"/>
          <w:szCs w:val="44"/>
          <w:lang w:bidi="zh-CN"/>
        </w:rPr>
        <w:t>创新平台发展</w:t>
      </w:r>
      <w:r>
        <w:rPr>
          <w:rFonts w:eastAsia="方正小标宋简体"/>
          <w:color w:val="000000"/>
          <w:sz w:val="44"/>
          <w:szCs w:val="44"/>
          <w:lang w:bidi="zh-CN"/>
        </w:rPr>
        <w:t>申报指南</w:t>
      </w:r>
    </w:p>
    <w:p w14:paraId="7FC860B7">
      <w:pPr>
        <w:spacing w:line="560" w:lineRule="exact"/>
        <w:jc w:val="cente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（工程研究中心方向）</w:t>
      </w:r>
    </w:p>
    <w:p w14:paraId="1471B074">
      <w:pPr>
        <w:pStyle w:val="24"/>
        <w:ind w:firstLine="193" w:firstLineChars="62"/>
        <w:rPr>
          <w:color w:val="000000"/>
          <w:shd w:val="clear" w:color="auto" w:fill="F9F9F9"/>
        </w:rPr>
      </w:pPr>
    </w:p>
    <w:p w14:paraId="18D19B97">
      <w:pPr>
        <w:pStyle w:val="31"/>
        <w:keepNext w:val="0"/>
        <w:keepLines w:val="0"/>
        <w:pageBreakBefore w:val="0"/>
        <w:kinsoku/>
        <w:wordWrap/>
        <w:overflowPunct/>
        <w:topLinePunct w:val="0"/>
        <w:bidi w:val="0"/>
        <w:spacing w:line="560" w:lineRule="exact"/>
        <w:ind w:left="0" w:firstLine="622" w:firstLineChars="200"/>
        <w:jc w:val="both"/>
        <w:textAlignment w:val="auto"/>
        <w:outlineLvl w:val="9"/>
        <w:rPr>
          <w:rFonts w:hint="eastAsia" w:ascii="Times New Roman" w:hAnsi="Times New Roman" w:eastAsia="仿宋_GB2312" w:cs="Times New Roman"/>
          <w:kern w:val="2"/>
          <w:sz w:val="32"/>
          <w:szCs w:val="32"/>
          <w:shd w:val="clear" w:color="FFFFFF" w:fill="D9D9D9"/>
          <w:lang w:val="en-US" w:bidi="ar-SA"/>
        </w:rPr>
      </w:pPr>
      <w:r>
        <w:rPr>
          <w:rFonts w:hint="eastAsia" w:ascii="仿宋_GB2312" w:hAnsi="仿宋_GB2312" w:eastAsia="仿宋_GB2312" w:cs="仿宋_GB2312"/>
          <w:color w:val="000000"/>
          <w:kern w:val="0"/>
          <w:sz w:val="32"/>
          <w:szCs w:val="32"/>
        </w:rPr>
        <w:t>为实施创新</w:t>
      </w:r>
      <w:r>
        <w:rPr>
          <w:rFonts w:hint="eastAsia" w:ascii="仿宋_GB2312" w:hAnsi="仿宋_GB2312" w:eastAsia="仿宋_GB2312" w:cs="仿宋_GB2312"/>
          <w:color w:val="000000"/>
          <w:kern w:val="0"/>
          <w:sz w:val="32"/>
          <w:szCs w:val="32"/>
          <w:lang w:eastAsia="zh-CN"/>
        </w:rPr>
        <w:t>引领</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kern w:val="0"/>
          <w:sz w:val="32"/>
          <w:szCs w:val="32"/>
        </w:rPr>
        <w:t>提升</w:t>
      </w:r>
      <w:r>
        <w:rPr>
          <w:rFonts w:hint="eastAsia" w:ascii="仿宋_GB2312" w:hAnsi="仿宋_GB2312" w:eastAsia="仿宋_GB2312" w:cs="仿宋_GB2312"/>
          <w:kern w:val="0"/>
          <w:sz w:val="32"/>
          <w:szCs w:val="32"/>
          <w:lang w:eastAsia="zh-CN"/>
        </w:rPr>
        <w:t>本市</w:t>
      </w:r>
      <w:r>
        <w:rPr>
          <w:rFonts w:hint="eastAsia" w:ascii="仿宋_GB2312" w:hAnsi="仿宋_GB2312" w:eastAsia="仿宋_GB2312" w:cs="仿宋_GB2312"/>
          <w:kern w:val="0"/>
          <w:sz w:val="32"/>
          <w:szCs w:val="32"/>
        </w:rPr>
        <w:t>产业研发创新能力，</w:t>
      </w:r>
      <w:r>
        <w:rPr>
          <w:rFonts w:hint="eastAsia" w:ascii="仿宋_GB2312" w:hAnsi="仿宋_GB2312" w:eastAsia="仿宋_GB2312" w:cs="仿宋_GB2312"/>
          <w:color w:val="000000"/>
          <w:kern w:val="0"/>
          <w:sz w:val="32"/>
          <w:szCs w:val="32"/>
          <w:lang w:eastAsia="zh-CN"/>
        </w:rPr>
        <w:t>支持市级工程研究中心</w:t>
      </w:r>
      <w:r>
        <w:rPr>
          <w:rFonts w:hint="eastAsia" w:ascii="仿宋_GB2312" w:hAnsi="仿宋_GB2312" w:eastAsia="仿宋_GB2312" w:cs="仿宋_GB2312"/>
          <w:color w:val="000000"/>
          <w:kern w:val="0"/>
          <w:sz w:val="32"/>
          <w:szCs w:val="32"/>
        </w:rPr>
        <w:t>建设及</w:t>
      </w:r>
      <w:r>
        <w:rPr>
          <w:rFonts w:hint="eastAsia" w:ascii="仿宋_GB2312" w:hAnsi="仿宋_GB2312" w:eastAsia="仿宋_GB2312" w:cs="仿宋_GB2312"/>
          <w:color w:val="000000"/>
          <w:kern w:val="0"/>
          <w:sz w:val="32"/>
          <w:szCs w:val="32"/>
          <w:lang w:eastAsia="zh-CN"/>
        </w:rPr>
        <w:t>提升创新能力</w:t>
      </w:r>
      <w:r>
        <w:rPr>
          <w:rFonts w:hint="eastAsia" w:ascii="仿宋_GB2312" w:hAnsi="仿宋_GB2312" w:eastAsia="仿宋_GB2312" w:cs="仿宋_GB2312"/>
          <w:kern w:val="2"/>
          <w:sz w:val="32"/>
          <w:szCs w:val="32"/>
          <w:lang w:val="en-US" w:bidi="ar-SA"/>
        </w:rPr>
        <w:t>，</w:t>
      </w:r>
      <w:r>
        <w:rPr>
          <w:rFonts w:hint="eastAsia" w:ascii="Times New Roman" w:hAnsi="Times New Roman" w:eastAsia="仿宋_GB2312" w:cs="Times New Roman"/>
          <w:kern w:val="2"/>
          <w:sz w:val="32"/>
          <w:szCs w:val="32"/>
          <w:lang w:val="en-US" w:eastAsia="zh-CN" w:bidi="ar-SA"/>
        </w:rPr>
        <w:t>依据</w:t>
      </w:r>
      <w:r>
        <w:rPr>
          <w:rFonts w:hint="default" w:ascii="Times New Roman" w:hAnsi="Times New Roman" w:eastAsia="仿宋_GB2312" w:cs="Times New Roman"/>
          <w:sz w:val="32"/>
          <w:szCs w:val="32"/>
        </w:rPr>
        <w:t>《天津市</w:t>
      </w:r>
      <w:r>
        <w:rPr>
          <w:rFonts w:hint="default" w:ascii="Times New Roman" w:hAnsi="Times New Roman" w:eastAsia="仿宋_GB2312" w:cs="Times New Roman"/>
          <w:sz w:val="32"/>
          <w:szCs w:val="32"/>
          <w:lang w:val="en-US"/>
        </w:rPr>
        <w:t>人民</w:t>
      </w:r>
      <w:r>
        <w:rPr>
          <w:rFonts w:hint="default" w:ascii="Times New Roman" w:hAnsi="Times New Roman" w:eastAsia="仿宋_GB2312" w:cs="Times New Roman"/>
          <w:sz w:val="32"/>
          <w:szCs w:val="32"/>
        </w:rPr>
        <w:t>政府办公厅关于印发天津市推动制造业高质量发展若干政策措施的通知》（津政办</w:t>
      </w:r>
      <w:r>
        <w:rPr>
          <w:rFonts w:hint="default" w:ascii="Times New Roman" w:hAnsi="Times New Roman" w:eastAsia="仿宋_GB2312" w:cs="Times New Roman"/>
          <w:sz w:val="32"/>
          <w:szCs w:val="32"/>
          <w:lang w:val="en-US"/>
        </w:rPr>
        <w:t>规</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rPr>
        <w:t>23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rPr>
        <w:t>4</w:t>
      </w:r>
      <w:r>
        <w:rPr>
          <w:rFonts w:hint="default" w:ascii="Times New Roman" w:hAnsi="Times New Roman" w:eastAsia="仿宋_GB2312" w:cs="Times New Roman"/>
          <w:sz w:val="32"/>
          <w:szCs w:val="32"/>
        </w:rPr>
        <w:t>号）</w:t>
      </w:r>
      <w:r>
        <w:rPr>
          <w:rFonts w:hint="eastAsia" w:ascii="Times New Roman" w:hAnsi="Times New Roman" w:eastAsia="仿宋_GB2312" w:cs="Times New Roman"/>
          <w:kern w:val="2"/>
          <w:sz w:val="32"/>
          <w:szCs w:val="32"/>
          <w:lang w:val="en-US" w:eastAsia="zh-CN" w:bidi="ar-SA"/>
        </w:rPr>
        <w:t>有关要求</w:t>
      </w:r>
      <w:r>
        <w:rPr>
          <w:rFonts w:hint="default" w:ascii="Times New Roman" w:hAnsi="Times New Roman" w:eastAsia="仿宋_GB2312" w:cs="Times New Roman"/>
          <w:kern w:val="2"/>
          <w:sz w:val="32"/>
          <w:szCs w:val="32"/>
          <w:lang w:val="en-US" w:bidi="ar-SA"/>
        </w:rPr>
        <w:t>，</w:t>
      </w:r>
      <w:r>
        <w:rPr>
          <w:rFonts w:hint="eastAsia" w:ascii="仿宋_GB2312" w:hAnsi="仿宋_GB2312" w:eastAsia="仿宋_GB2312" w:cs="仿宋_GB2312"/>
          <w:kern w:val="2"/>
          <w:sz w:val="32"/>
          <w:szCs w:val="32"/>
          <w:lang w:val="en-US" w:bidi="ar-SA"/>
        </w:rPr>
        <w:t>制定本指南。</w:t>
      </w:r>
      <w:r>
        <w:rPr>
          <w:rFonts w:hint="eastAsia" w:ascii="仿宋_GB2312" w:hAnsi="仿宋_GB2312" w:eastAsia="仿宋_GB2312" w:cs="仿宋_GB2312"/>
          <w:color w:val="000000"/>
          <w:kern w:val="2"/>
          <w:sz w:val="32"/>
          <w:szCs w:val="32"/>
          <w:lang w:val="en-US" w:bidi="ar-SA"/>
        </w:rPr>
        <w:t>现将项目申报有关事项通知如下</w:t>
      </w:r>
      <w:r>
        <w:rPr>
          <w:rFonts w:hint="eastAsia" w:ascii="Times New Roman" w:hAnsi="Times New Roman" w:eastAsia="仿宋_GB2312" w:cs="Times New Roman"/>
          <w:color w:val="000000"/>
          <w:kern w:val="2"/>
          <w:sz w:val="32"/>
          <w:szCs w:val="32"/>
          <w:lang w:val="en-US" w:bidi="ar-SA"/>
        </w:rPr>
        <w:t>：</w:t>
      </w:r>
    </w:p>
    <w:p w14:paraId="5BD15711">
      <w:pPr>
        <w:pStyle w:val="13"/>
        <w:keepNext w:val="0"/>
        <w:keepLines w:val="0"/>
        <w:pageBreakBefore w:val="0"/>
        <w:widowControl/>
        <w:kinsoku/>
        <w:wordWrap/>
        <w:overflowPunct/>
        <w:topLinePunct w:val="0"/>
        <w:autoSpaceDE w:val="0"/>
        <w:autoSpaceDN w:val="0"/>
        <w:bidi w:val="0"/>
        <w:spacing w:before="0" w:beforeAutospacing="0" w:after="0" w:afterAutospacing="0" w:line="560" w:lineRule="exact"/>
        <w:ind w:firstLine="622" w:firstLineChars="200"/>
        <w:jc w:val="both"/>
        <w:textAlignment w:val="auto"/>
        <w:rPr>
          <w:rFonts w:eastAsia="黑体"/>
          <w:color w:val="000000"/>
          <w:sz w:val="32"/>
          <w:szCs w:val="32"/>
        </w:rPr>
      </w:pPr>
      <w:r>
        <w:rPr>
          <w:rFonts w:eastAsia="黑体"/>
          <w:color w:val="000000"/>
          <w:sz w:val="32"/>
          <w:szCs w:val="32"/>
        </w:rPr>
        <w:t>一、支持方向</w:t>
      </w:r>
    </w:p>
    <w:p w14:paraId="6422B78F">
      <w:pPr>
        <w:pStyle w:val="24"/>
        <w:keepNext w:val="0"/>
        <w:keepLines w:val="0"/>
        <w:pageBreakBefore w:val="0"/>
        <w:kinsoku/>
        <w:wordWrap/>
        <w:overflowPunct/>
        <w:topLinePunct w:val="0"/>
        <w:bidi w:val="0"/>
        <w:spacing w:line="560" w:lineRule="exact"/>
        <w:ind w:firstLine="622"/>
        <w:jc w:val="both"/>
        <w:textAlignment w:val="auto"/>
        <w:rPr>
          <w:rFonts w:hint="eastAsia"/>
        </w:rPr>
      </w:pPr>
      <w:r>
        <w:rPr>
          <w:rFonts w:hint="eastAsia"/>
        </w:rPr>
        <w:t>本次申报围绕智能科技、绿色石化、汽车、装备制造、生物医药、新能源、新材料、航空航天、冶金、轻工及未来产业等领域</w:t>
      </w:r>
      <w:r>
        <w:rPr>
          <w:rFonts w:hint="eastAsia"/>
          <w:lang w:val="zh-CN"/>
        </w:rPr>
        <w:t>。</w:t>
      </w:r>
      <w:r>
        <w:rPr>
          <w:rFonts w:hint="eastAsia"/>
          <w:kern w:val="2"/>
        </w:rPr>
        <w:t>鼓励市级工程研究中心购置研发仪器设备以及软件等创新能力提升项目建设</w:t>
      </w:r>
      <w:r>
        <w:rPr>
          <w:rFonts w:hint="eastAsia"/>
          <w:kern w:val="2"/>
          <w:lang w:eastAsia="zh-CN"/>
        </w:rPr>
        <w:t>。</w:t>
      </w:r>
      <w:r>
        <w:rPr>
          <w:rFonts w:hint="eastAsia"/>
          <w:highlight w:val="none"/>
          <w:lang w:eastAsia="zh-CN"/>
        </w:rPr>
        <w:t>对于政策实施后申请认定市级工程研究中心的单位，可一并提出</w:t>
      </w:r>
      <w:r>
        <w:rPr>
          <w:rFonts w:hint="default" w:ascii="Times New Roman" w:hAnsi="Times New Roman" w:cs="Times New Roman"/>
          <w:highlight w:val="none"/>
          <w:lang w:val="en-US" w:eastAsia="zh-CN"/>
        </w:rPr>
        <w:t>市级工程研究中心创新能力提升项目</w:t>
      </w:r>
      <w:r>
        <w:rPr>
          <w:rFonts w:hint="eastAsia" w:cs="Times New Roman"/>
          <w:highlight w:val="none"/>
          <w:lang w:val="en-US" w:eastAsia="zh-CN"/>
        </w:rPr>
        <w:t>；对政策实施前认定的</w:t>
      </w:r>
      <w:r>
        <w:rPr>
          <w:rFonts w:hint="eastAsia"/>
          <w:highlight w:val="none"/>
          <w:lang w:eastAsia="zh-CN"/>
        </w:rPr>
        <w:t>市级工程研究中心，评价结果为合格的可提出</w:t>
      </w:r>
      <w:r>
        <w:rPr>
          <w:rFonts w:hint="default" w:ascii="Times New Roman" w:hAnsi="Times New Roman" w:cs="Times New Roman"/>
          <w:highlight w:val="none"/>
          <w:lang w:val="en-US" w:eastAsia="zh-CN"/>
        </w:rPr>
        <w:t>市级工程研究中心创新能力提升项目</w:t>
      </w:r>
      <w:r>
        <w:rPr>
          <w:rFonts w:hint="eastAsia" w:cs="Times New Roman"/>
          <w:highlight w:val="none"/>
          <w:lang w:val="en-US" w:eastAsia="zh-CN"/>
        </w:rPr>
        <w:t>，均</w:t>
      </w:r>
      <w:r>
        <w:rPr>
          <w:rFonts w:hint="eastAsia"/>
          <w:kern w:val="2"/>
        </w:rPr>
        <w:t>按照实际投资额的30%，给予最高200万元支持</w:t>
      </w:r>
      <w:r>
        <w:t>。</w:t>
      </w:r>
    </w:p>
    <w:p w14:paraId="3336CD49">
      <w:pPr>
        <w:keepNext w:val="0"/>
        <w:keepLines w:val="0"/>
        <w:pageBreakBefore w:val="0"/>
        <w:kinsoku/>
        <w:wordWrap/>
        <w:overflowPunct/>
        <w:topLinePunct w:val="0"/>
        <w:bidi w:val="0"/>
        <w:spacing w:line="560" w:lineRule="exact"/>
        <w:ind w:firstLine="622" w:firstLineChars="200"/>
        <w:jc w:val="both"/>
        <w:textAlignment w:val="auto"/>
        <w:outlineLvl w:val="0"/>
        <w:rPr>
          <w:rFonts w:eastAsia="黑体"/>
          <w:color w:val="000000"/>
          <w:sz w:val="32"/>
          <w:szCs w:val="32"/>
        </w:rPr>
      </w:pPr>
      <w:r>
        <w:rPr>
          <w:rFonts w:eastAsia="黑体"/>
          <w:color w:val="000000"/>
          <w:sz w:val="32"/>
          <w:szCs w:val="32"/>
        </w:rPr>
        <w:t>二、申报条件</w:t>
      </w:r>
    </w:p>
    <w:p w14:paraId="22381626">
      <w:pPr>
        <w:keepNext w:val="0"/>
        <w:keepLines w:val="0"/>
        <w:pageBreakBefore w:val="0"/>
        <w:kinsoku/>
        <w:wordWrap/>
        <w:overflowPunct/>
        <w:topLinePunct w:val="0"/>
        <w:bidi w:val="0"/>
        <w:spacing w:line="560" w:lineRule="exact"/>
        <w:ind w:firstLine="627"/>
        <w:jc w:val="both"/>
        <w:textAlignment w:val="auto"/>
        <w:rPr>
          <w:rFonts w:hint="eastAsia" w:eastAsia="仿宋_GB2312"/>
          <w:kern w:val="0"/>
          <w:sz w:val="32"/>
          <w:szCs w:val="32"/>
        </w:rPr>
      </w:pPr>
      <w:r>
        <w:rPr>
          <w:rFonts w:eastAsia="仿宋_GB2312"/>
          <w:kern w:val="0"/>
          <w:sz w:val="32"/>
          <w:szCs w:val="32"/>
        </w:rPr>
        <w:t>（一）</w:t>
      </w:r>
      <w:r>
        <w:rPr>
          <w:rFonts w:hint="eastAsia" w:eastAsia="仿宋_GB2312"/>
          <w:kern w:val="0"/>
          <w:sz w:val="32"/>
          <w:szCs w:val="32"/>
        </w:rPr>
        <w:t>申报单位</w:t>
      </w:r>
      <w:r>
        <w:rPr>
          <w:rFonts w:eastAsia="仿宋_GB2312"/>
          <w:kern w:val="0"/>
          <w:sz w:val="32"/>
          <w:szCs w:val="32"/>
        </w:rPr>
        <w:t>符合通知正文中“申报条件”的所有要求</w:t>
      </w:r>
      <w:r>
        <w:rPr>
          <w:rFonts w:hint="eastAsia" w:eastAsia="仿宋_GB2312"/>
          <w:kern w:val="0"/>
          <w:sz w:val="32"/>
          <w:szCs w:val="32"/>
        </w:rPr>
        <w:t>。</w:t>
      </w:r>
    </w:p>
    <w:p w14:paraId="3FA68A1B">
      <w:pPr>
        <w:keepNext w:val="0"/>
        <w:keepLines w:val="0"/>
        <w:pageBreakBefore w:val="0"/>
        <w:kinsoku/>
        <w:wordWrap/>
        <w:overflowPunct/>
        <w:topLinePunct w:val="0"/>
        <w:bidi w:val="0"/>
        <w:spacing w:line="560" w:lineRule="exact"/>
        <w:ind w:firstLine="627"/>
        <w:jc w:val="both"/>
        <w:textAlignment w:val="auto"/>
        <w:rPr>
          <w:rFonts w:hint="eastAsia" w:eastAsia="仿宋_GB2312"/>
          <w:kern w:val="0"/>
          <w:sz w:val="32"/>
          <w:szCs w:val="32"/>
        </w:rPr>
      </w:pPr>
      <w:r>
        <w:rPr>
          <w:rFonts w:eastAsia="仿宋_GB2312"/>
          <w:kern w:val="0"/>
          <w:sz w:val="32"/>
          <w:szCs w:val="32"/>
        </w:rPr>
        <w:t>（二）</w:t>
      </w:r>
      <w:r>
        <w:rPr>
          <w:rFonts w:hint="eastAsia" w:eastAsia="仿宋_GB2312"/>
          <w:kern w:val="0"/>
          <w:sz w:val="32"/>
          <w:szCs w:val="32"/>
        </w:rPr>
        <w:t>申报单位需满足如下条件。</w:t>
      </w:r>
    </w:p>
    <w:p w14:paraId="5A93E176">
      <w:pPr>
        <w:keepNext w:val="0"/>
        <w:keepLines w:val="0"/>
        <w:pageBreakBefore w:val="0"/>
        <w:kinsoku/>
        <w:wordWrap/>
        <w:overflowPunct/>
        <w:topLinePunct w:val="0"/>
        <w:bidi w:val="0"/>
        <w:spacing w:line="560" w:lineRule="exact"/>
        <w:ind w:firstLine="627"/>
        <w:jc w:val="both"/>
        <w:textAlignment w:val="auto"/>
        <w:rPr>
          <w:rFonts w:hint="eastAsia" w:eastAsia="仿宋_GB2312"/>
          <w:kern w:val="0"/>
          <w:sz w:val="32"/>
          <w:szCs w:val="32"/>
        </w:rPr>
      </w:pPr>
      <w:r>
        <w:rPr>
          <w:rFonts w:hint="eastAsia" w:eastAsia="仿宋_GB2312"/>
          <w:kern w:val="0"/>
          <w:sz w:val="32"/>
          <w:szCs w:val="32"/>
        </w:rPr>
        <w:t>1．</w:t>
      </w:r>
      <w:r>
        <w:rPr>
          <w:rFonts w:eastAsia="仿宋_GB2312"/>
          <w:kern w:val="0"/>
          <w:sz w:val="32"/>
          <w:szCs w:val="32"/>
        </w:rPr>
        <w:t>由相关领域的企业、转制科研机构、科研院所或高等院校申请建设工程研究中心</w:t>
      </w:r>
      <w:r>
        <w:rPr>
          <w:rFonts w:hint="eastAsia" w:eastAsia="仿宋_GB2312"/>
          <w:kern w:val="0"/>
          <w:sz w:val="32"/>
          <w:szCs w:val="32"/>
        </w:rPr>
        <w:t>。</w:t>
      </w:r>
    </w:p>
    <w:p w14:paraId="3772026E">
      <w:pPr>
        <w:keepNext w:val="0"/>
        <w:keepLines w:val="0"/>
        <w:pageBreakBefore w:val="0"/>
        <w:kinsoku/>
        <w:wordWrap/>
        <w:overflowPunct/>
        <w:topLinePunct w:val="0"/>
        <w:bidi w:val="0"/>
        <w:spacing w:line="560" w:lineRule="exact"/>
        <w:ind w:firstLine="627"/>
        <w:jc w:val="both"/>
        <w:textAlignment w:val="auto"/>
        <w:rPr>
          <w:rFonts w:hint="eastAsia" w:eastAsia="仿宋_GB2312"/>
          <w:kern w:val="0"/>
          <w:sz w:val="32"/>
          <w:szCs w:val="32"/>
        </w:rPr>
      </w:pPr>
      <w:r>
        <w:rPr>
          <w:rFonts w:hint="eastAsia" w:eastAsia="仿宋_GB2312"/>
          <w:kern w:val="0"/>
          <w:sz w:val="32"/>
          <w:szCs w:val="32"/>
        </w:rPr>
        <w:t>2．</w:t>
      </w:r>
      <w:r>
        <w:rPr>
          <w:rFonts w:eastAsia="仿宋_GB2312"/>
          <w:kern w:val="0"/>
          <w:sz w:val="32"/>
          <w:szCs w:val="32"/>
        </w:rPr>
        <w:t>在本行业具有较强的影响力</w:t>
      </w:r>
      <w:r>
        <w:rPr>
          <w:rFonts w:hint="eastAsia" w:eastAsia="仿宋_GB2312"/>
          <w:kern w:val="0"/>
          <w:sz w:val="32"/>
          <w:szCs w:val="32"/>
        </w:rPr>
        <w:t>，</w:t>
      </w:r>
      <w:r>
        <w:rPr>
          <w:rFonts w:eastAsia="仿宋_GB2312"/>
          <w:kern w:val="0"/>
          <w:sz w:val="32"/>
          <w:szCs w:val="32"/>
        </w:rPr>
        <w:t>一是总人数不少于50人，其中专职科研人员数量不少于30人；二是相关研发设备原值原则上不少于3000万元，相关研发场地面积不少于2000平方米；三是主持或承担国家科研计划或行业标准的制定</w:t>
      </w:r>
      <w:r>
        <w:rPr>
          <w:rFonts w:hint="eastAsia" w:eastAsia="仿宋_GB2312"/>
          <w:kern w:val="0"/>
          <w:sz w:val="32"/>
          <w:szCs w:val="32"/>
        </w:rPr>
        <w:t>。</w:t>
      </w:r>
    </w:p>
    <w:p w14:paraId="609F87AD">
      <w:pPr>
        <w:keepNext w:val="0"/>
        <w:keepLines w:val="0"/>
        <w:pageBreakBefore w:val="0"/>
        <w:kinsoku/>
        <w:wordWrap/>
        <w:overflowPunct/>
        <w:topLinePunct w:val="0"/>
        <w:bidi w:val="0"/>
        <w:spacing w:line="560" w:lineRule="exact"/>
        <w:ind w:firstLine="627"/>
        <w:jc w:val="both"/>
        <w:textAlignment w:val="auto"/>
        <w:rPr>
          <w:rFonts w:hint="eastAsia" w:eastAsia="仿宋_GB2312"/>
          <w:kern w:val="0"/>
          <w:sz w:val="32"/>
          <w:szCs w:val="32"/>
        </w:rPr>
      </w:pPr>
      <w:r>
        <w:rPr>
          <w:rFonts w:hint="eastAsia" w:eastAsia="仿宋_GB2312"/>
          <w:kern w:val="0"/>
          <w:sz w:val="32"/>
          <w:szCs w:val="32"/>
        </w:rPr>
        <w:t>3．</w:t>
      </w:r>
      <w:r>
        <w:rPr>
          <w:rFonts w:eastAsia="仿宋_GB2312"/>
          <w:kern w:val="0"/>
          <w:sz w:val="32"/>
          <w:szCs w:val="32"/>
        </w:rPr>
        <w:t>有较为持续的研究开发投入</w:t>
      </w:r>
      <w:r>
        <w:rPr>
          <w:rFonts w:hint="eastAsia" w:eastAsia="仿宋_GB2312"/>
          <w:kern w:val="0"/>
          <w:sz w:val="32"/>
          <w:szCs w:val="32"/>
        </w:rPr>
        <w:t>，</w:t>
      </w:r>
      <w:r>
        <w:rPr>
          <w:rFonts w:eastAsia="仿宋_GB2312"/>
          <w:kern w:val="0"/>
          <w:sz w:val="32"/>
          <w:szCs w:val="32"/>
        </w:rPr>
        <w:t>其中：最近三年销售收入小于5000万元的企业，研究开发费用总额占销售收入总额的比例不低于5%；最近三年销售收入在5000万元至20000万元的企业，研究开发费用总额占销售收入总额的比例不低于4%；最近三年销售收入在20000万元以上的企业，研究开发费用总额占销售收入总额的比例不低于3%；申请单位为科研院所或高等院校的，最近三年每年的建设与运营经费不低于500万元</w:t>
      </w:r>
      <w:r>
        <w:rPr>
          <w:rFonts w:hint="eastAsia" w:eastAsia="仿宋_GB2312"/>
          <w:kern w:val="0"/>
          <w:sz w:val="32"/>
          <w:szCs w:val="32"/>
        </w:rPr>
        <w:t>。</w:t>
      </w:r>
    </w:p>
    <w:p w14:paraId="5A442CCE">
      <w:pPr>
        <w:keepNext w:val="0"/>
        <w:keepLines w:val="0"/>
        <w:pageBreakBefore w:val="0"/>
        <w:kinsoku/>
        <w:wordWrap/>
        <w:overflowPunct/>
        <w:topLinePunct w:val="0"/>
        <w:bidi w:val="0"/>
        <w:spacing w:line="560" w:lineRule="exact"/>
        <w:ind w:firstLine="627"/>
        <w:jc w:val="both"/>
        <w:textAlignment w:val="auto"/>
        <w:rPr>
          <w:rFonts w:eastAsia="仿宋_GB2312"/>
          <w:kern w:val="0"/>
          <w:sz w:val="32"/>
          <w:szCs w:val="32"/>
        </w:rPr>
      </w:pPr>
      <w:r>
        <w:rPr>
          <w:rFonts w:eastAsia="仿宋_GB2312"/>
          <w:kern w:val="0"/>
          <w:sz w:val="32"/>
          <w:szCs w:val="32"/>
        </w:rPr>
        <w:t>4．具有一批待工程化开发、拥有自主知识产权和良好市场前景、处于本市领先水平的重大科技成果</w:t>
      </w:r>
      <w:r>
        <w:rPr>
          <w:rFonts w:hint="eastAsia" w:eastAsia="仿宋_GB2312"/>
          <w:kern w:val="0"/>
          <w:sz w:val="32"/>
          <w:szCs w:val="32"/>
        </w:rPr>
        <w:t>。</w:t>
      </w:r>
    </w:p>
    <w:p w14:paraId="27F2A2CD">
      <w:pPr>
        <w:keepNext w:val="0"/>
        <w:keepLines w:val="0"/>
        <w:pageBreakBefore w:val="0"/>
        <w:kinsoku/>
        <w:wordWrap/>
        <w:overflowPunct/>
        <w:topLinePunct w:val="0"/>
        <w:bidi w:val="0"/>
        <w:spacing w:line="560" w:lineRule="exact"/>
        <w:ind w:firstLine="627"/>
        <w:jc w:val="both"/>
        <w:textAlignment w:val="auto"/>
        <w:rPr>
          <w:rFonts w:hint="eastAsia" w:eastAsia="仿宋_GB2312"/>
          <w:kern w:val="0"/>
          <w:sz w:val="32"/>
          <w:szCs w:val="32"/>
        </w:rPr>
      </w:pPr>
      <w:r>
        <w:rPr>
          <w:rFonts w:hint="eastAsia" w:eastAsia="仿宋_GB2312"/>
          <w:kern w:val="0"/>
          <w:sz w:val="32"/>
          <w:szCs w:val="32"/>
        </w:rPr>
        <w:t>5．</w:t>
      </w:r>
      <w:r>
        <w:rPr>
          <w:rFonts w:eastAsia="仿宋_GB2312"/>
          <w:kern w:val="0"/>
          <w:sz w:val="32"/>
          <w:szCs w:val="32"/>
        </w:rPr>
        <w:t>具有通过市场机制实现技术转移和扩散，促进科技成果产业化，形成良性循环的自我发展能力</w:t>
      </w:r>
      <w:r>
        <w:rPr>
          <w:rFonts w:hint="eastAsia" w:eastAsia="仿宋_GB2312"/>
          <w:kern w:val="0"/>
          <w:sz w:val="32"/>
          <w:szCs w:val="32"/>
        </w:rPr>
        <w:t>。</w:t>
      </w:r>
    </w:p>
    <w:p w14:paraId="1D1832F0">
      <w:pPr>
        <w:keepNext w:val="0"/>
        <w:keepLines w:val="0"/>
        <w:pageBreakBefore w:val="0"/>
        <w:kinsoku/>
        <w:wordWrap/>
        <w:overflowPunct/>
        <w:topLinePunct w:val="0"/>
        <w:bidi w:val="0"/>
        <w:spacing w:line="560" w:lineRule="exact"/>
        <w:ind w:firstLine="627"/>
        <w:jc w:val="both"/>
        <w:textAlignment w:val="auto"/>
        <w:rPr>
          <w:rFonts w:eastAsia="仿宋_GB2312"/>
          <w:kern w:val="0"/>
          <w:sz w:val="32"/>
          <w:szCs w:val="32"/>
        </w:rPr>
      </w:pPr>
      <w:r>
        <w:rPr>
          <w:rFonts w:eastAsia="仿宋_GB2312"/>
          <w:kern w:val="0"/>
          <w:sz w:val="32"/>
          <w:szCs w:val="32"/>
        </w:rPr>
        <w:t>6．具有对科技成果产业化进行技术经济分析的能力，条件允许的还应具有工程设计、评估及建设的咨询与服务能力</w:t>
      </w:r>
      <w:r>
        <w:rPr>
          <w:rFonts w:hint="eastAsia" w:eastAsia="仿宋_GB2312"/>
          <w:kern w:val="0"/>
          <w:sz w:val="32"/>
          <w:szCs w:val="32"/>
        </w:rPr>
        <w:t>。</w:t>
      </w:r>
    </w:p>
    <w:p w14:paraId="0365D1E6">
      <w:pPr>
        <w:keepNext w:val="0"/>
        <w:keepLines w:val="0"/>
        <w:pageBreakBefore w:val="0"/>
        <w:widowControl/>
        <w:kinsoku/>
        <w:wordWrap/>
        <w:overflowPunct/>
        <w:topLinePunct w:val="0"/>
        <w:bidi w:val="0"/>
        <w:spacing w:line="560" w:lineRule="exact"/>
        <w:ind w:firstLine="645"/>
        <w:jc w:val="both"/>
        <w:textAlignment w:val="auto"/>
        <w:rPr>
          <w:rFonts w:hint="eastAsia" w:eastAsia="仿宋_GB2312"/>
          <w:kern w:val="0"/>
          <w:sz w:val="32"/>
          <w:szCs w:val="32"/>
        </w:rPr>
      </w:pPr>
      <w:r>
        <w:rPr>
          <w:rFonts w:hint="eastAsia"/>
          <w:kern w:val="0"/>
          <w:sz w:val="32"/>
          <w:szCs w:val="32"/>
        </w:rPr>
        <w:t>7．</w:t>
      </w:r>
      <w:r>
        <w:rPr>
          <w:rFonts w:eastAsia="仿宋_GB2312"/>
          <w:kern w:val="0"/>
          <w:sz w:val="32"/>
          <w:szCs w:val="32"/>
        </w:rPr>
        <w:t>具有完善的人才激励、知识产权管理</w:t>
      </w:r>
      <w:r>
        <w:rPr>
          <w:rFonts w:hint="eastAsia"/>
          <w:kern w:val="0"/>
          <w:sz w:val="32"/>
          <w:szCs w:val="32"/>
        </w:rPr>
        <w:t>、</w:t>
      </w:r>
      <w:r>
        <w:rPr>
          <w:rFonts w:eastAsia="仿宋_GB2312"/>
          <w:kern w:val="0"/>
          <w:sz w:val="32"/>
          <w:szCs w:val="32"/>
        </w:rPr>
        <w:t>成果转化、开放共享等管理制度</w:t>
      </w:r>
      <w:r>
        <w:rPr>
          <w:rFonts w:hint="eastAsia" w:eastAsia="仿宋_GB2312"/>
          <w:kern w:val="0"/>
          <w:sz w:val="32"/>
          <w:szCs w:val="32"/>
        </w:rPr>
        <w:t>。</w:t>
      </w:r>
    </w:p>
    <w:p w14:paraId="4FC9BB22">
      <w:pPr>
        <w:keepNext w:val="0"/>
        <w:keepLines w:val="0"/>
        <w:pageBreakBefore w:val="0"/>
        <w:kinsoku/>
        <w:wordWrap/>
        <w:overflowPunct/>
        <w:topLinePunct w:val="0"/>
        <w:bidi w:val="0"/>
        <w:spacing w:line="560" w:lineRule="exact"/>
        <w:ind w:firstLine="627"/>
        <w:jc w:val="both"/>
        <w:textAlignment w:val="auto"/>
        <w:rPr>
          <w:rFonts w:hint="eastAsia" w:eastAsia="仿宋_GB2312"/>
          <w:kern w:val="0"/>
          <w:sz w:val="32"/>
          <w:szCs w:val="32"/>
        </w:rPr>
      </w:pPr>
      <w:r>
        <w:rPr>
          <w:rFonts w:hint="eastAsia" w:eastAsia="仿宋_GB2312"/>
          <w:kern w:val="0"/>
          <w:sz w:val="32"/>
          <w:szCs w:val="32"/>
        </w:rPr>
        <w:t>8．</w:t>
      </w:r>
      <w:r>
        <w:rPr>
          <w:rFonts w:eastAsia="仿宋_GB2312"/>
          <w:kern w:val="0"/>
          <w:sz w:val="32"/>
          <w:szCs w:val="32"/>
          <w:lang w:val="ru-RU"/>
        </w:rPr>
        <w:t>符合国家和市其他相关规定</w:t>
      </w:r>
      <w:r>
        <w:rPr>
          <w:rFonts w:hint="eastAsia" w:eastAsia="仿宋_GB2312"/>
          <w:kern w:val="0"/>
          <w:sz w:val="32"/>
          <w:szCs w:val="32"/>
        </w:rPr>
        <w:t>。</w:t>
      </w:r>
    </w:p>
    <w:p w14:paraId="7FCE2352">
      <w:pPr>
        <w:keepNext w:val="0"/>
        <w:keepLines w:val="0"/>
        <w:pageBreakBefore w:val="0"/>
        <w:kinsoku/>
        <w:wordWrap/>
        <w:overflowPunct/>
        <w:topLinePunct w:val="0"/>
        <w:bidi w:val="0"/>
        <w:spacing w:line="560" w:lineRule="exact"/>
        <w:ind w:firstLine="627"/>
        <w:jc w:val="both"/>
        <w:textAlignment w:val="auto"/>
        <w:rPr>
          <w:rFonts w:hint="eastAsia" w:ascii="Times New Roman" w:hAnsi="Times New Roman" w:eastAsia="仿宋_GB2312" w:cs="Times New Roman"/>
          <w:kern w:val="0"/>
          <w:sz w:val="32"/>
          <w:szCs w:val="32"/>
          <w:lang w:eastAsia="zh-CN"/>
        </w:rPr>
      </w:pPr>
      <w:r>
        <w:rPr>
          <w:rFonts w:hint="eastAsia" w:ascii="Times New Roman" w:hAnsi="Times New Roman" w:eastAsia="仿宋_GB2312" w:cs="Times New Roman"/>
          <w:kern w:val="0"/>
          <w:sz w:val="32"/>
          <w:szCs w:val="32"/>
          <w:lang w:eastAsia="zh-CN"/>
        </w:rPr>
        <w:t>（三）申报单位为</w:t>
      </w:r>
      <w:r>
        <w:rPr>
          <w:rFonts w:hint="eastAsia" w:ascii="Times New Roman" w:hAnsi="Times New Roman" w:eastAsia="仿宋_GB2312" w:cs="Times New Roman"/>
          <w:kern w:val="0"/>
          <w:sz w:val="32"/>
          <w:szCs w:val="32"/>
          <w:lang w:val="en-US" w:eastAsia="zh-CN"/>
        </w:rPr>
        <w:t>政策实施前认定的</w:t>
      </w:r>
      <w:r>
        <w:rPr>
          <w:rFonts w:hint="eastAsia" w:ascii="Times New Roman" w:hAnsi="Times New Roman" w:eastAsia="仿宋_GB2312" w:cs="Times New Roman"/>
          <w:kern w:val="0"/>
          <w:sz w:val="32"/>
          <w:szCs w:val="32"/>
          <w:lang w:eastAsia="zh-CN"/>
        </w:rPr>
        <w:t>市级工程研究中心需通过</w:t>
      </w:r>
      <w:r>
        <w:rPr>
          <w:rFonts w:hint="eastAsia" w:ascii="Times New Roman" w:hAnsi="Times New Roman" w:eastAsia="仿宋_GB2312" w:cs="Times New Roman"/>
          <w:kern w:val="0"/>
          <w:sz w:val="32"/>
          <w:szCs w:val="32"/>
          <w:lang w:val="en-US" w:eastAsia="zh-CN"/>
        </w:rPr>
        <w:t>2024、2025年天津市工程研究中心评价合格，其</w:t>
      </w:r>
      <w:r>
        <w:rPr>
          <w:rFonts w:hint="default" w:ascii="Times New Roman" w:hAnsi="Times New Roman" w:eastAsia="仿宋_GB2312" w:cs="Times New Roman"/>
          <w:kern w:val="0"/>
          <w:sz w:val="32"/>
          <w:szCs w:val="32"/>
          <w:lang w:val="en-US" w:eastAsia="zh-CN"/>
        </w:rPr>
        <w:t>创新能力提升项目</w:t>
      </w:r>
      <w:r>
        <w:rPr>
          <w:rFonts w:hint="eastAsia" w:ascii="Times New Roman" w:hAnsi="Times New Roman" w:eastAsia="仿宋_GB2312" w:cs="Times New Roman"/>
          <w:kern w:val="0"/>
          <w:sz w:val="32"/>
          <w:szCs w:val="32"/>
          <w:lang w:val="en-US"/>
        </w:rPr>
        <w:t>固定资产实际投资额</w:t>
      </w:r>
      <w:r>
        <w:rPr>
          <w:rFonts w:hint="eastAsia" w:ascii="Times New Roman" w:hAnsi="Times New Roman" w:eastAsia="仿宋_GB2312" w:cs="Times New Roman"/>
          <w:kern w:val="0"/>
          <w:sz w:val="32"/>
          <w:szCs w:val="32"/>
        </w:rPr>
        <w:t>不少于500万元</w:t>
      </w:r>
      <w:r>
        <w:rPr>
          <w:rFonts w:hint="eastAsia" w:ascii="Times New Roman" w:hAnsi="Times New Roman" w:eastAsia="仿宋_GB2312" w:cs="Times New Roman"/>
          <w:kern w:val="0"/>
          <w:sz w:val="32"/>
          <w:szCs w:val="32"/>
          <w:lang w:eastAsia="zh-CN"/>
        </w:rPr>
        <w:t>。</w:t>
      </w:r>
    </w:p>
    <w:p w14:paraId="037D7014">
      <w:pPr>
        <w:keepNext w:val="0"/>
        <w:keepLines w:val="0"/>
        <w:pageBreakBefore w:val="0"/>
        <w:kinsoku/>
        <w:wordWrap/>
        <w:overflowPunct/>
        <w:topLinePunct w:val="0"/>
        <w:bidi w:val="0"/>
        <w:spacing w:line="560" w:lineRule="exact"/>
        <w:ind w:firstLine="627"/>
        <w:jc w:val="both"/>
        <w:textAlignment w:val="auto"/>
        <w:rPr>
          <w:rFonts w:eastAsia="仿宋_GB2312"/>
          <w:kern w:val="0"/>
          <w:sz w:val="32"/>
          <w:szCs w:val="32"/>
        </w:rPr>
      </w:pPr>
      <w:r>
        <w:rPr>
          <w:rFonts w:hint="eastAsia"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eastAsia="zh-CN"/>
        </w:rPr>
        <w:t>四</w:t>
      </w:r>
      <w:r>
        <w:rPr>
          <w:rFonts w:hint="eastAsia" w:ascii="Times New Roman" w:hAnsi="Times New Roman" w:eastAsia="仿宋_GB2312" w:cs="Times New Roman"/>
          <w:kern w:val="0"/>
          <w:sz w:val="32"/>
          <w:szCs w:val="32"/>
        </w:rPr>
        <w:t>）申报项目应为在建项目，建设周期原则上</w:t>
      </w:r>
      <w:r>
        <w:rPr>
          <w:rFonts w:hint="eastAsia" w:eastAsia="仿宋_GB2312"/>
          <w:kern w:val="0"/>
          <w:sz w:val="32"/>
          <w:szCs w:val="32"/>
        </w:rPr>
        <w:t>不超过三年，</w:t>
      </w:r>
      <w:r>
        <w:rPr>
          <w:rFonts w:hint="eastAsia" w:eastAsia="仿宋_GB2312"/>
          <w:kern w:val="0"/>
          <w:sz w:val="32"/>
          <w:szCs w:val="32"/>
          <w:lang w:bidi="zh-CN"/>
        </w:rPr>
        <w:t>以2023年4月1</w:t>
      </w:r>
      <w:r>
        <w:rPr>
          <w:rFonts w:eastAsia="仿宋_GB2312"/>
          <w:kern w:val="0"/>
          <w:sz w:val="32"/>
          <w:szCs w:val="32"/>
          <w:lang w:bidi="zh-CN"/>
        </w:rPr>
        <w:t>1</w:t>
      </w:r>
      <w:r>
        <w:rPr>
          <w:rFonts w:hint="eastAsia" w:eastAsia="仿宋_GB2312"/>
          <w:kern w:val="0"/>
          <w:sz w:val="32"/>
          <w:szCs w:val="32"/>
          <w:lang w:bidi="zh-CN"/>
        </w:rPr>
        <w:t>日之后</w:t>
      </w:r>
      <w:r>
        <w:rPr>
          <w:rFonts w:hint="eastAsia" w:eastAsia="仿宋_GB2312"/>
          <w:sz w:val="32"/>
          <w:szCs w:val="32"/>
        </w:rPr>
        <w:t>固定资产实际投资额按比例给予支持</w:t>
      </w:r>
      <w:r>
        <w:rPr>
          <w:rFonts w:hint="eastAsia" w:eastAsia="仿宋_GB2312"/>
          <w:kern w:val="0"/>
          <w:sz w:val="32"/>
          <w:szCs w:val="32"/>
        </w:rPr>
        <w:t>。</w:t>
      </w:r>
    </w:p>
    <w:p w14:paraId="01DAE099">
      <w:pPr>
        <w:keepNext w:val="0"/>
        <w:keepLines w:val="0"/>
        <w:pageBreakBefore w:val="0"/>
        <w:kinsoku/>
        <w:wordWrap/>
        <w:overflowPunct/>
        <w:topLinePunct w:val="0"/>
        <w:bidi w:val="0"/>
        <w:spacing w:line="560" w:lineRule="exact"/>
        <w:ind w:firstLine="627"/>
        <w:jc w:val="both"/>
        <w:textAlignment w:val="auto"/>
        <w:rPr>
          <w:rFonts w:hint="eastAsia" w:eastAsia="仿宋_GB2312"/>
          <w:kern w:val="0"/>
          <w:sz w:val="32"/>
          <w:szCs w:val="32"/>
        </w:rPr>
      </w:pPr>
      <w:r>
        <w:rPr>
          <w:rFonts w:hint="eastAsia" w:eastAsia="仿宋_GB2312"/>
          <w:kern w:val="0"/>
          <w:sz w:val="32"/>
          <w:szCs w:val="32"/>
        </w:rPr>
        <w:t>（</w:t>
      </w:r>
      <w:r>
        <w:rPr>
          <w:rFonts w:hint="eastAsia" w:eastAsia="仿宋_GB2312"/>
          <w:kern w:val="0"/>
          <w:sz w:val="32"/>
          <w:szCs w:val="32"/>
          <w:lang w:eastAsia="zh-CN"/>
        </w:rPr>
        <w:t>五</w:t>
      </w:r>
      <w:r>
        <w:rPr>
          <w:rFonts w:hint="eastAsia" w:eastAsia="仿宋_GB2312"/>
          <w:kern w:val="0"/>
          <w:sz w:val="32"/>
          <w:szCs w:val="32"/>
        </w:rPr>
        <w:t>）申报项目</w:t>
      </w:r>
      <w:r>
        <w:rPr>
          <w:rFonts w:eastAsia="仿宋_GB2312"/>
          <w:kern w:val="0"/>
          <w:sz w:val="32"/>
          <w:szCs w:val="32"/>
        </w:rPr>
        <w:t>符合国家产业政策和土地、节能、环保、安全等要求，建设手续齐全，项目方案合理可行，具有较好的社会经济效</w:t>
      </w:r>
      <w:r>
        <w:rPr>
          <w:rFonts w:ascii="Times New Roman" w:hAnsi="Times New Roman" w:eastAsia="仿宋_GB2312" w:cs="Times New Roman"/>
          <w:kern w:val="0"/>
          <w:sz w:val="32"/>
          <w:szCs w:val="32"/>
        </w:rPr>
        <w:t>益</w:t>
      </w:r>
      <w:r>
        <w:rPr>
          <w:rFonts w:hint="eastAsia" w:eastAsia="仿宋_GB2312"/>
          <w:kern w:val="0"/>
          <w:sz w:val="32"/>
          <w:szCs w:val="32"/>
        </w:rPr>
        <w:t>。</w:t>
      </w:r>
    </w:p>
    <w:p w14:paraId="01540CFC">
      <w:pPr>
        <w:keepNext w:val="0"/>
        <w:keepLines w:val="0"/>
        <w:pageBreakBefore w:val="0"/>
        <w:kinsoku/>
        <w:wordWrap/>
        <w:overflowPunct/>
        <w:topLinePunct w:val="0"/>
        <w:bidi w:val="0"/>
        <w:spacing w:line="560" w:lineRule="exact"/>
        <w:ind w:firstLine="627"/>
        <w:jc w:val="both"/>
        <w:textAlignment w:val="auto"/>
        <w:rPr>
          <w:rFonts w:eastAsia="仿宋_GB2312"/>
          <w:kern w:val="0"/>
          <w:sz w:val="32"/>
          <w:szCs w:val="32"/>
        </w:rPr>
      </w:pPr>
      <w:r>
        <w:rPr>
          <w:rFonts w:hint="eastAsia" w:eastAsia="仿宋_GB2312"/>
          <w:kern w:val="0"/>
          <w:sz w:val="32"/>
          <w:szCs w:val="32"/>
        </w:rPr>
        <w:t>（</w:t>
      </w:r>
      <w:r>
        <w:rPr>
          <w:rFonts w:hint="eastAsia" w:eastAsia="仿宋_GB2312"/>
          <w:kern w:val="0"/>
          <w:sz w:val="32"/>
          <w:szCs w:val="32"/>
          <w:lang w:eastAsia="zh-CN"/>
        </w:rPr>
        <w:t>六</w:t>
      </w:r>
      <w:r>
        <w:rPr>
          <w:rFonts w:hint="eastAsia" w:eastAsia="仿宋_GB2312"/>
          <w:kern w:val="0"/>
          <w:sz w:val="32"/>
          <w:szCs w:val="32"/>
        </w:rPr>
        <w:t>）项目申报的财政资金不能全部补助时，不足部分由项目承担单位自筹解决。对申请财政</w:t>
      </w:r>
      <w:r>
        <w:rPr>
          <w:rFonts w:hint="eastAsia" w:eastAsia="仿宋_GB2312"/>
          <w:kern w:val="0"/>
          <w:sz w:val="32"/>
          <w:szCs w:val="32"/>
          <w:lang w:eastAsia="zh-CN"/>
        </w:rPr>
        <w:t>资金</w:t>
      </w:r>
      <w:r>
        <w:rPr>
          <w:rFonts w:hint="eastAsia" w:eastAsia="仿宋_GB2312"/>
          <w:kern w:val="0"/>
          <w:sz w:val="32"/>
          <w:szCs w:val="32"/>
        </w:rPr>
        <w:t>金额与实</w:t>
      </w:r>
      <w:r>
        <w:rPr>
          <w:rFonts w:eastAsia="仿宋_GB2312"/>
          <w:kern w:val="0"/>
          <w:sz w:val="32"/>
          <w:szCs w:val="32"/>
        </w:rPr>
        <w:t>际提供的补助金额差别较大，预计申报单位增加自筹有较大的困难，或者实施中有可能出现资金短缺问题的项目，将暂缓或不予立项。</w:t>
      </w:r>
    </w:p>
    <w:p w14:paraId="6E248260">
      <w:pPr>
        <w:keepNext w:val="0"/>
        <w:keepLines w:val="0"/>
        <w:pageBreakBefore w:val="0"/>
        <w:kinsoku/>
        <w:wordWrap/>
        <w:overflowPunct/>
        <w:topLinePunct w:val="0"/>
        <w:bidi w:val="0"/>
        <w:spacing w:line="560" w:lineRule="exact"/>
        <w:ind w:firstLine="627"/>
        <w:jc w:val="both"/>
        <w:textAlignment w:val="auto"/>
        <w:rPr>
          <w:rFonts w:eastAsia="黑体"/>
          <w:color w:val="000000"/>
          <w:sz w:val="32"/>
          <w:szCs w:val="32"/>
        </w:rPr>
      </w:pPr>
      <w:r>
        <w:rPr>
          <w:rFonts w:hint="eastAsia" w:eastAsia="仿宋_GB2312"/>
          <w:kern w:val="0"/>
          <w:sz w:val="32"/>
          <w:szCs w:val="32"/>
        </w:rPr>
        <w:t xml:space="preserve"> </w:t>
      </w:r>
      <w:r>
        <w:rPr>
          <w:rFonts w:eastAsia="黑体"/>
          <w:color w:val="000000"/>
          <w:sz w:val="32"/>
          <w:szCs w:val="32"/>
        </w:rPr>
        <w:t>三、申报材料</w:t>
      </w:r>
    </w:p>
    <w:p w14:paraId="06A8E973">
      <w:pPr>
        <w:keepNext w:val="0"/>
        <w:keepLines w:val="0"/>
        <w:pageBreakBefore w:val="0"/>
        <w:kinsoku/>
        <w:wordWrap/>
        <w:overflowPunct/>
        <w:topLinePunct w:val="0"/>
        <w:bidi w:val="0"/>
        <w:spacing w:line="560" w:lineRule="exact"/>
        <w:ind w:firstLine="627"/>
        <w:jc w:val="both"/>
        <w:textAlignment w:val="auto"/>
        <w:rPr>
          <w:rFonts w:eastAsia="仿宋_GB2312"/>
          <w:kern w:val="0"/>
          <w:sz w:val="32"/>
          <w:szCs w:val="32"/>
        </w:rPr>
      </w:pPr>
      <w:r>
        <w:rPr>
          <w:rFonts w:hint="eastAsia" w:eastAsia="仿宋_GB2312"/>
          <w:kern w:val="0"/>
          <w:sz w:val="32"/>
          <w:szCs w:val="32"/>
        </w:rPr>
        <w:t>（一）申报单位需提供</w:t>
      </w:r>
      <w:r>
        <w:rPr>
          <w:rFonts w:eastAsia="仿宋_GB2312"/>
          <w:kern w:val="0"/>
          <w:sz w:val="32"/>
          <w:szCs w:val="32"/>
        </w:rPr>
        <w:t>通知正文中要求的申报材料（选择</w:t>
      </w:r>
      <w:r>
        <w:rPr>
          <w:rFonts w:hint="eastAsia" w:eastAsia="仿宋_GB2312"/>
          <w:kern w:val="0"/>
          <w:sz w:val="32"/>
          <w:szCs w:val="32"/>
        </w:rPr>
        <w:t>支持</w:t>
      </w:r>
      <w:r>
        <w:rPr>
          <w:rFonts w:eastAsia="仿宋_GB2312"/>
          <w:kern w:val="0"/>
          <w:sz w:val="32"/>
          <w:szCs w:val="32"/>
        </w:rPr>
        <w:t>类）</w:t>
      </w:r>
      <w:r>
        <w:rPr>
          <w:rFonts w:hint="eastAsia" w:eastAsia="仿宋_GB2312"/>
          <w:kern w:val="0"/>
          <w:sz w:val="32"/>
          <w:szCs w:val="32"/>
        </w:rPr>
        <w:t>。</w:t>
      </w:r>
    </w:p>
    <w:p w14:paraId="30F8441A">
      <w:pPr>
        <w:keepNext w:val="0"/>
        <w:keepLines w:val="0"/>
        <w:pageBreakBefore w:val="0"/>
        <w:kinsoku/>
        <w:wordWrap/>
        <w:overflowPunct/>
        <w:topLinePunct w:val="0"/>
        <w:bidi w:val="0"/>
        <w:spacing w:line="560" w:lineRule="exact"/>
        <w:ind w:firstLine="627"/>
        <w:jc w:val="both"/>
        <w:textAlignment w:val="auto"/>
        <w:rPr>
          <w:rFonts w:hint="eastAsia" w:eastAsia="仿宋_GB2312"/>
          <w:kern w:val="0"/>
          <w:sz w:val="32"/>
          <w:szCs w:val="32"/>
        </w:rPr>
      </w:pPr>
      <w:r>
        <w:rPr>
          <w:rFonts w:hint="eastAsia" w:eastAsia="仿宋_GB2312"/>
          <w:kern w:val="0"/>
          <w:sz w:val="32"/>
          <w:szCs w:val="32"/>
        </w:rPr>
        <w:t>（二）申报单位需编制</w:t>
      </w:r>
      <w:r>
        <w:rPr>
          <w:rFonts w:eastAsia="仿宋_GB2312"/>
          <w:kern w:val="0"/>
          <w:sz w:val="32"/>
          <w:szCs w:val="32"/>
        </w:rPr>
        <w:t>附件</w:t>
      </w:r>
      <w:r>
        <w:rPr>
          <w:rFonts w:hint="eastAsia" w:eastAsia="仿宋_GB2312"/>
          <w:kern w:val="0"/>
          <w:sz w:val="32"/>
          <w:szCs w:val="32"/>
          <w:lang w:val="en-US" w:eastAsia="zh-CN"/>
        </w:rPr>
        <w:t>9</w:t>
      </w:r>
      <w:r>
        <w:rPr>
          <w:rFonts w:hint="eastAsia" w:eastAsia="仿宋_GB2312"/>
          <w:kern w:val="0"/>
          <w:sz w:val="32"/>
          <w:szCs w:val="32"/>
        </w:rPr>
        <w:t>—1</w:t>
      </w:r>
      <w:r>
        <w:rPr>
          <w:rFonts w:eastAsia="仿宋_GB2312"/>
          <w:kern w:val="0"/>
          <w:sz w:val="32"/>
          <w:szCs w:val="32"/>
        </w:rPr>
        <w:t>《</w:t>
      </w:r>
      <w:r>
        <w:rPr>
          <w:rFonts w:hint="eastAsia" w:eastAsia="仿宋_GB2312"/>
          <w:kern w:val="0"/>
          <w:sz w:val="32"/>
          <w:szCs w:val="32"/>
        </w:rPr>
        <w:t>天津市工程研究中心创新</w:t>
      </w:r>
      <w:r>
        <w:rPr>
          <w:rFonts w:eastAsia="仿宋_GB2312"/>
          <w:kern w:val="0"/>
          <w:sz w:val="32"/>
          <w:szCs w:val="32"/>
        </w:rPr>
        <w:t>能力提升项目</w:t>
      </w:r>
      <w:r>
        <w:rPr>
          <w:rFonts w:hint="eastAsia" w:eastAsia="仿宋_GB2312"/>
          <w:kern w:val="0"/>
          <w:sz w:val="32"/>
          <w:szCs w:val="32"/>
        </w:rPr>
        <w:t>建设方案</w:t>
      </w:r>
      <w:r>
        <w:rPr>
          <w:rFonts w:eastAsia="仿宋_GB2312"/>
          <w:kern w:val="0"/>
          <w:sz w:val="32"/>
          <w:szCs w:val="32"/>
        </w:rPr>
        <w:t>》（加盖申</w:t>
      </w:r>
      <w:r>
        <w:rPr>
          <w:rFonts w:hint="eastAsia" w:eastAsia="仿宋_GB2312"/>
          <w:kern w:val="0"/>
          <w:sz w:val="32"/>
          <w:szCs w:val="32"/>
        </w:rPr>
        <w:t>报</w:t>
      </w:r>
      <w:r>
        <w:rPr>
          <w:rFonts w:eastAsia="仿宋_GB2312"/>
          <w:kern w:val="0"/>
          <w:sz w:val="32"/>
          <w:szCs w:val="32"/>
        </w:rPr>
        <w:t>单位公章）</w:t>
      </w:r>
      <w:r>
        <w:rPr>
          <w:rFonts w:hint="eastAsia" w:eastAsia="仿宋_GB2312"/>
          <w:kern w:val="0"/>
          <w:sz w:val="32"/>
          <w:szCs w:val="32"/>
        </w:rPr>
        <w:t>。</w:t>
      </w:r>
    </w:p>
    <w:p w14:paraId="7873E061">
      <w:pPr>
        <w:keepNext w:val="0"/>
        <w:keepLines w:val="0"/>
        <w:pageBreakBefore w:val="0"/>
        <w:kinsoku/>
        <w:wordWrap/>
        <w:overflowPunct/>
        <w:topLinePunct w:val="0"/>
        <w:bidi w:val="0"/>
        <w:spacing w:line="560" w:lineRule="exact"/>
        <w:ind w:firstLine="627"/>
        <w:jc w:val="both"/>
        <w:textAlignment w:val="auto"/>
        <w:rPr>
          <w:rFonts w:eastAsia="仿宋_GB2312"/>
          <w:kern w:val="0"/>
          <w:sz w:val="32"/>
          <w:szCs w:val="32"/>
        </w:rPr>
      </w:pPr>
      <w:r>
        <w:rPr>
          <w:rFonts w:hint="eastAsia" w:eastAsia="仿宋_GB2312"/>
          <w:kern w:val="0"/>
          <w:sz w:val="32"/>
          <w:szCs w:val="32"/>
        </w:rPr>
        <w:t>（三）申报单位需提供</w:t>
      </w:r>
      <w:r>
        <w:rPr>
          <w:rFonts w:eastAsia="仿宋_GB2312"/>
          <w:kern w:val="0"/>
          <w:sz w:val="32"/>
          <w:szCs w:val="32"/>
        </w:rPr>
        <w:t>项目固定资产投资、土地、节能、环保、安全等</w:t>
      </w:r>
      <w:r>
        <w:rPr>
          <w:rFonts w:hint="eastAsia" w:eastAsia="仿宋_GB2312"/>
          <w:kern w:val="0"/>
          <w:sz w:val="32"/>
          <w:szCs w:val="32"/>
        </w:rPr>
        <w:t>前期手续</w:t>
      </w:r>
      <w:r>
        <w:rPr>
          <w:rFonts w:eastAsia="仿宋_GB2312"/>
          <w:kern w:val="0"/>
          <w:sz w:val="32"/>
          <w:szCs w:val="32"/>
        </w:rPr>
        <w:t>文件</w:t>
      </w:r>
      <w:r>
        <w:rPr>
          <w:rFonts w:hint="eastAsia" w:eastAsia="仿宋_GB2312"/>
          <w:kern w:val="0"/>
          <w:sz w:val="32"/>
          <w:szCs w:val="32"/>
        </w:rPr>
        <w:t>，</w:t>
      </w:r>
      <w:r>
        <w:rPr>
          <w:rFonts w:eastAsia="仿宋_GB2312"/>
          <w:kern w:val="0"/>
          <w:sz w:val="32"/>
          <w:szCs w:val="32"/>
        </w:rPr>
        <w:t>专业资质文件、技术检测报告、有效专利、核心自主知识产权等证明材料及目录（加盖申</w:t>
      </w:r>
      <w:r>
        <w:rPr>
          <w:rFonts w:hint="eastAsia" w:eastAsia="仿宋_GB2312"/>
          <w:kern w:val="0"/>
          <w:sz w:val="32"/>
          <w:szCs w:val="32"/>
        </w:rPr>
        <w:t>报</w:t>
      </w:r>
      <w:r>
        <w:rPr>
          <w:rFonts w:eastAsia="仿宋_GB2312"/>
          <w:kern w:val="0"/>
          <w:sz w:val="32"/>
          <w:szCs w:val="32"/>
        </w:rPr>
        <w:t>单位公章）。</w:t>
      </w:r>
    </w:p>
    <w:p w14:paraId="62821C53">
      <w:pPr>
        <w:keepNext w:val="0"/>
        <w:keepLines w:val="0"/>
        <w:pageBreakBefore w:val="0"/>
        <w:kinsoku/>
        <w:wordWrap/>
        <w:overflowPunct/>
        <w:topLinePunct w:val="0"/>
        <w:bidi w:val="0"/>
        <w:adjustRightInd w:val="0"/>
        <w:snapToGrid w:val="0"/>
        <w:spacing w:line="560" w:lineRule="exact"/>
        <w:ind w:firstLine="660"/>
        <w:jc w:val="both"/>
        <w:textAlignment w:val="auto"/>
        <w:rPr>
          <w:rFonts w:eastAsia="黑体"/>
          <w:color w:val="000000"/>
          <w:sz w:val="32"/>
          <w:szCs w:val="32"/>
        </w:rPr>
      </w:pPr>
      <w:r>
        <w:rPr>
          <w:rFonts w:eastAsia="黑体"/>
          <w:color w:val="000000"/>
          <w:sz w:val="32"/>
          <w:szCs w:val="32"/>
        </w:rPr>
        <w:t>四、申报流程</w:t>
      </w:r>
    </w:p>
    <w:p w14:paraId="051024E7">
      <w:pPr>
        <w:keepNext w:val="0"/>
        <w:keepLines w:val="0"/>
        <w:pageBreakBefore w:val="0"/>
        <w:kinsoku/>
        <w:wordWrap/>
        <w:overflowPunct/>
        <w:topLinePunct w:val="0"/>
        <w:bidi w:val="0"/>
        <w:adjustRightInd w:val="0"/>
        <w:snapToGrid w:val="0"/>
        <w:spacing w:line="560" w:lineRule="exact"/>
        <w:ind w:firstLine="645"/>
        <w:jc w:val="both"/>
        <w:textAlignment w:val="auto"/>
        <w:rPr>
          <w:rFonts w:eastAsia="仿宋_GB2312"/>
          <w:color w:val="000000"/>
          <w:sz w:val="32"/>
          <w:szCs w:val="32"/>
        </w:rPr>
      </w:pPr>
      <w:r>
        <w:rPr>
          <w:rFonts w:eastAsia="仿宋_GB2312"/>
          <w:color w:val="000000"/>
          <w:sz w:val="32"/>
          <w:szCs w:val="32"/>
        </w:rPr>
        <w:t>（一）申报</w:t>
      </w:r>
      <w:r>
        <w:rPr>
          <w:rFonts w:hint="eastAsia" w:eastAsia="仿宋_GB2312"/>
          <w:color w:val="000000"/>
          <w:sz w:val="32"/>
          <w:szCs w:val="32"/>
        </w:rPr>
        <w:t>单位</w:t>
      </w:r>
      <w:r>
        <w:rPr>
          <w:rFonts w:eastAsia="仿宋_GB2312"/>
          <w:color w:val="000000"/>
          <w:sz w:val="32"/>
          <w:szCs w:val="32"/>
        </w:rPr>
        <w:t>按照文件要求准备申报材料</w:t>
      </w:r>
      <w:r>
        <w:rPr>
          <w:rFonts w:hint="eastAsia" w:eastAsia="仿宋_GB2312"/>
          <w:color w:val="000000"/>
          <w:sz w:val="32"/>
          <w:szCs w:val="32"/>
        </w:rPr>
        <w:t>，提交所在区发展改革委</w:t>
      </w:r>
      <w:r>
        <w:rPr>
          <w:rFonts w:eastAsia="仿宋_GB2312"/>
          <w:color w:val="000000"/>
          <w:sz w:val="32"/>
          <w:szCs w:val="32"/>
        </w:rPr>
        <w:t>。</w:t>
      </w:r>
    </w:p>
    <w:p w14:paraId="21D2726D">
      <w:pPr>
        <w:keepNext w:val="0"/>
        <w:keepLines w:val="0"/>
        <w:pageBreakBefore w:val="0"/>
        <w:kinsoku/>
        <w:wordWrap/>
        <w:overflowPunct/>
        <w:topLinePunct w:val="0"/>
        <w:bidi w:val="0"/>
        <w:adjustRightInd w:val="0"/>
        <w:snapToGrid w:val="0"/>
        <w:spacing w:line="560" w:lineRule="exact"/>
        <w:ind w:firstLine="645"/>
        <w:jc w:val="both"/>
        <w:textAlignment w:val="auto"/>
        <w:rPr>
          <w:rFonts w:eastAsia="仿宋_GB2312"/>
          <w:color w:val="000000"/>
          <w:sz w:val="32"/>
          <w:szCs w:val="32"/>
        </w:rPr>
      </w:pPr>
      <w:r>
        <w:rPr>
          <w:rFonts w:eastAsia="仿宋_GB2312"/>
          <w:color w:val="000000"/>
          <w:sz w:val="32"/>
          <w:szCs w:val="32"/>
        </w:rPr>
        <w:t>（二）区</w:t>
      </w:r>
      <w:r>
        <w:rPr>
          <w:rFonts w:hint="eastAsia" w:eastAsia="仿宋_GB2312"/>
          <w:color w:val="000000"/>
          <w:sz w:val="32"/>
          <w:szCs w:val="32"/>
        </w:rPr>
        <w:t>发展</w:t>
      </w:r>
      <w:r>
        <w:rPr>
          <w:rFonts w:eastAsia="仿宋_GB2312"/>
          <w:color w:val="000000"/>
          <w:sz w:val="32"/>
          <w:szCs w:val="32"/>
        </w:rPr>
        <w:t>改革委组织</w:t>
      </w:r>
      <w:r>
        <w:rPr>
          <w:rFonts w:hint="eastAsia" w:eastAsia="仿宋_GB2312"/>
          <w:color w:val="000000"/>
          <w:sz w:val="32"/>
          <w:szCs w:val="32"/>
        </w:rPr>
        <w:t>开展</w:t>
      </w:r>
      <w:r>
        <w:rPr>
          <w:rFonts w:eastAsia="仿宋_GB2312"/>
          <w:color w:val="000000"/>
          <w:sz w:val="32"/>
          <w:szCs w:val="32"/>
        </w:rPr>
        <w:t>初审</w:t>
      </w:r>
      <w:r>
        <w:rPr>
          <w:rFonts w:eastAsia="仿宋_GB2312"/>
          <w:sz w:val="32"/>
          <w:szCs w:val="32"/>
        </w:rPr>
        <w:t>，</w:t>
      </w:r>
      <w:r>
        <w:rPr>
          <w:rFonts w:hint="eastAsia" w:eastAsia="仿宋_GB2312"/>
          <w:color w:val="000000"/>
          <w:sz w:val="32"/>
          <w:szCs w:val="32"/>
        </w:rPr>
        <w:t>形成</w:t>
      </w:r>
      <w:r>
        <w:rPr>
          <w:rFonts w:eastAsia="仿宋_GB2312"/>
          <w:color w:val="000000"/>
          <w:sz w:val="32"/>
          <w:szCs w:val="32"/>
        </w:rPr>
        <w:t>推荐意见上报</w:t>
      </w:r>
      <w:r>
        <w:rPr>
          <w:rFonts w:hint="eastAsia" w:eastAsia="仿宋_GB2312"/>
          <w:color w:val="000000"/>
          <w:sz w:val="32"/>
          <w:szCs w:val="32"/>
        </w:rPr>
        <w:t>市发展改革委；</w:t>
      </w:r>
      <w:r>
        <w:rPr>
          <w:rFonts w:eastAsia="仿宋_GB2312"/>
          <w:sz w:val="32"/>
          <w:szCs w:val="32"/>
        </w:rPr>
        <w:t>区财政局</w:t>
      </w:r>
      <w:r>
        <w:rPr>
          <w:rFonts w:hint="eastAsia" w:eastAsia="仿宋_GB2312"/>
          <w:sz w:val="32"/>
          <w:szCs w:val="32"/>
        </w:rPr>
        <w:t>在1:1资金配套承诺书中加盖公章。</w:t>
      </w:r>
      <w:r>
        <w:rPr>
          <w:rFonts w:eastAsia="仿宋_GB2312"/>
          <w:color w:val="000000"/>
          <w:sz w:val="32"/>
          <w:szCs w:val="32"/>
          <w:highlight w:val="none"/>
        </w:rPr>
        <w:t>推荐文件一式二份，纸质申报材料一式二份，申报材料汇总电子文档光盘</w:t>
      </w:r>
      <w:r>
        <w:rPr>
          <w:rFonts w:hint="eastAsia" w:eastAsia="仿宋_GB2312"/>
          <w:color w:val="000000"/>
          <w:sz w:val="32"/>
          <w:szCs w:val="32"/>
          <w:highlight w:val="none"/>
        </w:rPr>
        <w:t>（word版）</w:t>
      </w:r>
      <w:r>
        <w:rPr>
          <w:rFonts w:eastAsia="仿宋_GB2312"/>
          <w:color w:val="000000"/>
          <w:sz w:val="32"/>
          <w:szCs w:val="32"/>
          <w:highlight w:val="none"/>
        </w:rPr>
        <w:t>一张</w:t>
      </w:r>
      <w:r>
        <w:rPr>
          <w:rFonts w:hint="eastAsia" w:eastAsia="仿宋_GB2312"/>
          <w:color w:val="000000"/>
          <w:sz w:val="32"/>
          <w:szCs w:val="32"/>
          <w:highlight w:val="none"/>
          <w:lang w:eastAsia="zh-CN"/>
        </w:rPr>
        <w:t>，于</w:t>
      </w:r>
      <w:r>
        <w:rPr>
          <w:rFonts w:hint="eastAsia" w:eastAsia="仿宋_GB2312"/>
          <w:color w:val="000000"/>
          <w:sz w:val="32"/>
          <w:szCs w:val="32"/>
          <w:highlight w:val="none"/>
          <w:lang w:val="en-US" w:eastAsia="zh-CN"/>
        </w:rPr>
        <w:t>202</w:t>
      </w:r>
      <w:r>
        <w:rPr>
          <w:rFonts w:hint="default" w:eastAsia="仿宋_GB2312"/>
          <w:color w:val="000000"/>
          <w:sz w:val="32"/>
          <w:szCs w:val="32"/>
          <w:highlight w:val="none"/>
          <w:lang w:val="en-US" w:eastAsia="zh-CN"/>
        </w:rPr>
        <w:t>6</w:t>
      </w:r>
      <w:r>
        <w:rPr>
          <w:rFonts w:hint="eastAsia" w:eastAsia="仿宋_GB2312"/>
          <w:color w:val="000000"/>
          <w:sz w:val="32"/>
          <w:szCs w:val="32"/>
          <w:highlight w:val="none"/>
          <w:lang w:val="en-US" w:eastAsia="zh-CN"/>
        </w:rPr>
        <w:t>年9月14日前报送至市发展改革委</w:t>
      </w:r>
      <w:r>
        <w:rPr>
          <w:rFonts w:eastAsia="仿宋_GB2312"/>
          <w:color w:val="000000"/>
          <w:sz w:val="32"/>
          <w:szCs w:val="32"/>
          <w:highlight w:val="none"/>
        </w:rPr>
        <w:t>。</w:t>
      </w:r>
      <w:bookmarkStart w:id="0" w:name="_GoBack"/>
      <w:bookmarkEnd w:id="0"/>
    </w:p>
    <w:p w14:paraId="5D831A55">
      <w:pPr>
        <w:keepNext w:val="0"/>
        <w:keepLines w:val="0"/>
        <w:pageBreakBefore w:val="0"/>
        <w:widowControl/>
        <w:kinsoku/>
        <w:wordWrap/>
        <w:overflowPunct/>
        <w:topLinePunct w:val="0"/>
        <w:autoSpaceDE w:val="0"/>
        <w:autoSpaceDN w:val="0"/>
        <w:bidi w:val="0"/>
        <w:adjustRightInd w:val="0"/>
        <w:snapToGrid w:val="0"/>
        <w:spacing w:line="560" w:lineRule="exact"/>
        <w:ind w:firstLine="622" w:firstLineChars="200"/>
        <w:jc w:val="both"/>
        <w:textAlignment w:val="auto"/>
        <w:rPr>
          <w:rFonts w:eastAsia="仿宋_GB2312"/>
          <w:color w:val="000000"/>
          <w:sz w:val="32"/>
          <w:szCs w:val="28"/>
        </w:rPr>
      </w:pPr>
      <w:r>
        <w:rPr>
          <w:rFonts w:eastAsia="仿宋_GB2312"/>
          <w:color w:val="000000"/>
          <w:sz w:val="32"/>
          <w:szCs w:val="32"/>
        </w:rPr>
        <w:t>（三）</w:t>
      </w:r>
      <w:r>
        <w:rPr>
          <w:rFonts w:hint="eastAsia" w:eastAsia="仿宋_GB2312"/>
          <w:color w:val="000000"/>
          <w:sz w:val="32"/>
          <w:szCs w:val="32"/>
        </w:rPr>
        <w:t>市发展改革委按程序</w:t>
      </w:r>
      <w:r>
        <w:rPr>
          <w:rFonts w:hint="eastAsia" w:eastAsia="仿宋_GB2312"/>
          <w:sz w:val="32"/>
          <w:szCs w:val="28"/>
        </w:rPr>
        <w:t>委托第三方机构，进行形式审查和专家评审，遴选确定市级工程研究中心名单和支持的项目。</w:t>
      </w:r>
    </w:p>
    <w:p w14:paraId="1B07D619">
      <w:pPr>
        <w:keepNext w:val="0"/>
        <w:keepLines w:val="0"/>
        <w:pageBreakBefore w:val="0"/>
        <w:kinsoku/>
        <w:wordWrap/>
        <w:overflowPunct/>
        <w:topLinePunct w:val="0"/>
        <w:bidi w:val="0"/>
        <w:adjustRightInd w:val="0"/>
        <w:snapToGrid w:val="0"/>
        <w:spacing w:line="560" w:lineRule="exact"/>
        <w:ind w:firstLine="660"/>
        <w:jc w:val="both"/>
        <w:textAlignment w:val="auto"/>
        <w:rPr>
          <w:rFonts w:eastAsia="黑体"/>
          <w:color w:val="000000"/>
          <w:kern w:val="0"/>
          <w:sz w:val="32"/>
          <w:szCs w:val="32"/>
        </w:rPr>
      </w:pPr>
      <w:r>
        <w:rPr>
          <w:rFonts w:eastAsia="黑体"/>
          <w:color w:val="000000"/>
          <w:kern w:val="0"/>
          <w:sz w:val="32"/>
          <w:szCs w:val="32"/>
        </w:rPr>
        <w:t>五、联系方式</w:t>
      </w:r>
    </w:p>
    <w:p w14:paraId="45CA157D">
      <w:pPr>
        <w:keepNext w:val="0"/>
        <w:keepLines w:val="0"/>
        <w:pageBreakBefore w:val="0"/>
        <w:kinsoku/>
        <w:wordWrap/>
        <w:overflowPunct/>
        <w:topLinePunct w:val="0"/>
        <w:bidi w:val="0"/>
        <w:adjustRightInd w:val="0"/>
        <w:snapToGrid w:val="0"/>
        <w:spacing w:line="560" w:lineRule="exact"/>
        <w:ind w:firstLine="645"/>
        <w:jc w:val="both"/>
        <w:textAlignment w:val="auto"/>
        <w:rPr>
          <w:rFonts w:hint="default" w:eastAsia="仿宋_GB2312"/>
          <w:color w:val="000000"/>
          <w:sz w:val="32"/>
          <w:szCs w:val="32"/>
          <w:lang w:val="en-US" w:eastAsia="zh-CN"/>
        </w:rPr>
      </w:pPr>
      <w:r>
        <w:rPr>
          <w:rFonts w:eastAsia="仿宋_GB2312"/>
          <w:color w:val="000000"/>
          <w:kern w:val="0"/>
          <w:sz w:val="32"/>
          <w:szCs w:val="32"/>
        </w:rPr>
        <w:t>市</w:t>
      </w:r>
      <w:r>
        <w:rPr>
          <w:rFonts w:eastAsia="仿宋_GB2312"/>
          <w:color w:val="000000"/>
          <w:sz w:val="32"/>
          <w:szCs w:val="32"/>
        </w:rPr>
        <w:t>发展改革委</w:t>
      </w:r>
      <w:r>
        <w:rPr>
          <w:rFonts w:hint="eastAsia" w:eastAsia="仿宋_GB2312"/>
          <w:color w:val="000000"/>
          <w:sz w:val="32"/>
          <w:szCs w:val="32"/>
          <w:lang w:eastAsia="zh-CN"/>
        </w:rPr>
        <w:t>高技术处</w:t>
      </w:r>
      <w:r>
        <w:rPr>
          <w:rFonts w:eastAsia="仿宋_GB2312"/>
          <w:color w:val="000000"/>
          <w:kern w:val="0"/>
          <w:sz w:val="32"/>
          <w:szCs w:val="32"/>
        </w:rPr>
        <w:t xml:space="preserve"> </w:t>
      </w:r>
      <w:r>
        <w:rPr>
          <w:rFonts w:hint="eastAsia" w:eastAsia="仿宋_GB2312"/>
          <w:color w:val="000000"/>
          <w:kern w:val="0"/>
          <w:sz w:val="32"/>
          <w:szCs w:val="32"/>
          <w:lang w:eastAsia="zh-CN"/>
        </w:rPr>
        <w:t>杨松黎</w:t>
      </w:r>
      <w:r>
        <w:rPr>
          <w:rFonts w:hint="eastAsia" w:eastAsia="仿宋_GB2312"/>
          <w:color w:val="000000"/>
          <w:kern w:val="0"/>
          <w:sz w:val="32"/>
          <w:szCs w:val="32"/>
          <w:lang w:val="en-US" w:eastAsia="zh-CN"/>
        </w:rPr>
        <w:t>，</w:t>
      </w:r>
      <w:r>
        <w:rPr>
          <w:rFonts w:eastAsia="仿宋_GB2312"/>
          <w:color w:val="000000"/>
          <w:kern w:val="0"/>
          <w:sz w:val="32"/>
          <w:szCs w:val="32"/>
        </w:rPr>
        <w:t>联系电话：</w:t>
      </w:r>
      <w:r>
        <w:rPr>
          <w:rFonts w:hint="eastAsia" w:eastAsia="仿宋_GB2312"/>
          <w:color w:val="000000"/>
          <w:sz w:val="32"/>
          <w:szCs w:val="32"/>
          <w:lang w:val="en-US" w:eastAsia="zh-CN"/>
        </w:rPr>
        <w:t>23142184</w:t>
      </w:r>
    </w:p>
    <w:p w14:paraId="0994F12F">
      <w:pPr>
        <w:keepNext w:val="0"/>
        <w:keepLines w:val="0"/>
        <w:pageBreakBefore w:val="0"/>
        <w:kinsoku/>
        <w:wordWrap/>
        <w:overflowPunct/>
        <w:topLinePunct w:val="0"/>
        <w:bidi w:val="0"/>
        <w:adjustRightInd w:val="0"/>
        <w:snapToGrid w:val="0"/>
        <w:spacing w:line="560" w:lineRule="exact"/>
        <w:ind w:firstLine="645"/>
        <w:jc w:val="both"/>
        <w:textAlignment w:val="auto"/>
        <w:rPr>
          <w:rFonts w:eastAsia="仿宋_GB2312"/>
          <w:color w:val="000000"/>
          <w:kern w:val="0"/>
          <w:sz w:val="32"/>
          <w:szCs w:val="32"/>
        </w:rPr>
      </w:pPr>
      <w:r>
        <w:rPr>
          <w:rFonts w:eastAsia="仿宋_GB2312"/>
          <w:color w:val="000000"/>
          <w:kern w:val="0"/>
          <w:sz w:val="32"/>
          <w:szCs w:val="32"/>
        </w:rPr>
        <w:t>报送地址：</w:t>
      </w:r>
      <w:r>
        <w:rPr>
          <w:rFonts w:eastAsia="仿宋_GB2312"/>
          <w:color w:val="000000"/>
          <w:sz w:val="32"/>
          <w:szCs w:val="32"/>
        </w:rPr>
        <w:t>天津市</w:t>
      </w:r>
      <w:r>
        <w:rPr>
          <w:rFonts w:eastAsia="仿宋_GB2312"/>
          <w:color w:val="000000"/>
          <w:kern w:val="0"/>
          <w:sz w:val="32"/>
          <w:szCs w:val="32"/>
        </w:rPr>
        <w:t>和平</w:t>
      </w:r>
      <w:r>
        <w:rPr>
          <w:rFonts w:eastAsia="仿宋_GB2312"/>
          <w:color w:val="000000"/>
          <w:sz w:val="32"/>
          <w:szCs w:val="32"/>
        </w:rPr>
        <w:t>区</w:t>
      </w:r>
      <w:r>
        <w:rPr>
          <w:rFonts w:eastAsia="仿宋_GB2312"/>
          <w:color w:val="000000"/>
          <w:kern w:val="0"/>
          <w:sz w:val="32"/>
          <w:szCs w:val="32"/>
        </w:rPr>
        <w:t>大沽北路157</w:t>
      </w:r>
      <w:r>
        <w:rPr>
          <w:rFonts w:eastAsia="仿宋_GB2312"/>
          <w:color w:val="000000"/>
          <w:sz w:val="32"/>
          <w:szCs w:val="32"/>
        </w:rPr>
        <w:t>号</w:t>
      </w:r>
      <w:r>
        <w:rPr>
          <w:rFonts w:eastAsia="仿宋_GB2312"/>
          <w:color w:val="000000"/>
          <w:kern w:val="0"/>
          <w:sz w:val="32"/>
          <w:szCs w:val="32"/>
        </w:rPr>
        <w:t>国投大厦2</w:t>
      </w:r>
      <w:r>
        <w:rPr>
          <w:rFonts w:hint="eastAsia" w:eastAsia="仿宋_GB2312"/>
          <w:color w:val="000000"/>
          <w:kern w:val="0"/>
          <w:sz w:val="32"/>
          <w:szCs w:val="32"/>
          <w:lang w:val="en-US" w:eastAsia="zh-CN"/>
        </w:rPr>
        <w:t>4</w:t>
      </w:r>
      <w:r>
        <w:rPr>
          <w:rFonts w:eastAsia="仿宋_GB2312"/>
          <w:color w:val="000000"/>
          <w:kern w:val="0"/>
          <w:sz w:val="32"/>
          <w:szCs w:val="32"/>
        </w:rPr>
        <w:t>0</w:t>
      </w:r>
      <w:r>
        <w:rPr>
          <w:rFonts w:hint="eastAsia" w:eastAsia="仿宋_GB2312"/>
          <w:color w:val="000000"/>
          <w:kern w:val="0"/>
          <w:sz w:val="32"/>
          <w:szCs w:val="32"/>
          <w:lang w:val="en-US" w:eastAsia="zh-CN"/>
        </w:rPr>
        <w:t>8</w:t>
      </w:r>
      <w:r>
        <w:rPr>
          <w:rFonts w:eastAsia="仿宋_GB2312"/>
          <w:color w:val="000000"/>
          <w:sz w:val="32"/>
          <w:szCs w:val="32"/>
        </w:rPr>
        <w:t>室</w:t>
      </w:r>
    </w:p>
    <w:p w14:paraId="5B5E4ACE">
      <w:pPr>
        <w:pStyle w:val="7"/>
        <w:keepNext w:val="0"/>
        <w:keepLines w:val="0"/>
        <w:pageBreakBefore w:val="0"/>
        <w:kinsoku/>
        <w:wordWrap/>
        <w:overflowPunct/>
        <w:topLinePunct w:val="0"/>
        <w:bidi w:val="0"/>
        <w:spacing w:before="0" w:line="560" w:lineRule="exact"/>
        <w:jc w:val="both"/>
        <w:textAlignment w:val="auto"/>
      </w:pPr>
    </w:p>
    <w:p w14:paraId="65A8AF10">
      <w:pPr>
        <w:keepNext w:val="0"/>
        <w:keepLines w:val="0"/>
        <w:pageBreakBefore w:val="0"/>
        <w:kinsoku/>
        <w:wordWrap/>
        <w:overflowPunct/>
        <w:topLinePunct w:val="0"/>
        <w:bidi w:val="0"/>
        <w:spacing w:line="560" w:lineRule="exact"/>
        <w:ind w:firstLine="622" w:firstLineChars="200"/>
        <w:jc w:val="both"/>
        <w:textAlignment w:val="auto"/>
        <w:rPr>
          <w:rFonts w:eastAsia="仿宋_GB2312"/>
          <w:kern w:val="0"/>
          <w:sz w:val="32"/>
          <w:szCs w:val="32"/>
        </w:rPr>
      </w:pPr>
      <w:r>
        <w:rPr>
          <w:rFonts w:hint="eastAsia" w:ascii="仿宋_GB2312" w:eastAsia="仿宋_GB2312"/>
          <w:sz w:val="32"/>
          <w:szCs w:val="32"/>
        </w:rPr>
        <w:t>附件：</w:t>
      </w:r>
      <w:r>
        <w:rPr>
          <w:rFonts w:hint="eastAsia" w:eastAsia="仿宋_GB2312"/>
          <w:sz w:val="32"/>
          <w:szCs w:val="32"/>
          <w:lang w:val="en-US" w:eastAsia="zh-CN"/>
        </w:rPr>
        <w:t>9</w:t>
      </w:r>
      <w:r>
        <w:rPr>
          <w:rFonts w:hint="eastAsia" w:eastAsia="仿宋_GB2312"/>
          <w:sz w:val="32"/>
          <w:szCs w:val="32"/>
        </w:rPr>
        <w:t>—1</w:t>
      </w:r>
      <w:r>
        <w:rPr>
          <w:rFonts w:hint="eastAsia" w:ascii="仿宋_GB2312" w:eastAsia="仿宋_GB2312"/>
          <w:sz w:val="32"/>
          <w:szCs w:val="32"/>
        </w:rPr>
        <w:t>．</w:t>
      </w:r>
      <w:r>
        <w:rPr>
          <w:rFonts w:hint="eastAsia" w:eastAsia="仿宋_GB2312"/>
          <w:kern w:val="0"/>
          <w:sz w:val="32"/>
          <w:szCs w:val="32"/>
        </w:rPr>
        <w:t>天津市工程研究中心创新</w:t>
      </w:r>
      <w:r>
        <w:rPr>
          <w:rFonts w:eastAsia="仿宋_GB2312"/>
          <w:kern w:val="0"/>
          <w:sz w:val="32"/>
          <w:szCs w:val="32"/>
        </w:rPr>
        <w:t>能力提升项目</w:t>
      </w:r>
      <w:r>
        <w:rPr>
          <w:rFonts w:hint="eastAsia" w:eastAsia="仿宋_GB2312"/>
          <w:kern w:val="0"/>
          <w:sz w:val="32"/>
          <w:szCs w:val="32"/>
        </w:rPr>
        <w:t>建设</w:t>
      </w:r>
    </w:p>
    <w:p w14:paraId="4B0C5CC8">
      <w:pPr>
        <w:keepNext w:val="0"/>
        <w:keepLines w:val="0"/>
        <w:pageBreakBefore w:val="0"/>
        <w:kinsoku/>
        <w:wordWrap/>
        <w:overflowPunct/>
        <w:topLinePunct w:val="0"/>
        <w:bidi w:val="0"/>
        <w:spacing w:line="560" w:lineRule="exact"/>
        <w:ind w:firstLine="2644" w:firstLineChars="850"/>
        <w:jc w:val="both"/>
        <w:textAlignment w:val="auto"/>
        <w:rPr>
          <w:rFonts w:hint="eastAsia" w:eastAsia="仿宋_GB2312"/>
          <w:kern w:val="0"/>
          <w:sz w:val="32"/>
          <w:szCs w:val="32"/>
        </w:rPr>
      </w:pPr>
      <w:r>
        <w:rPr>
          <w:rFonts w:hint="eastAsia" w:eastAsia="仿宋_GB2312"/>
          <w:kern w:val="0"/>
          <w:sz w:val="32"/>
          <w:szCs w:val="32"/>
        </w:rPr>
        <w:t>方案</w:t>
      </w:r>
    </w:p>
    <w:p w14:paraId="39EC3921">
      <w:pPr>
        <w:keepNext w:val="0"/>
        <w:keepLines w:val="0"/>
        <w:pageBreakBefore w:val="0"/>
        <w:kinsoku/>
        <w:wordWrap/>
        <w:overflowPunct/>
        <w:topLinePunct w:val="0"/>
        <w:bidi w:val="0"/>
        <w:adjustRightInd w:val="0"/>
        <w:snapToGrid w:val="0"/>
        <w:spacing w:line="560" w:lineRule="exact"/>
        <w:jc w:val="both"/>
        <w:textAlignment w:val="auto"/>
        <w:rPr>
          <w:rFonts w:eastAsia="黑体"/>
          <w:sz w:val="32"/>
          <w:szCs w:val="32"/>
          <w:lang w:val="en"/>
        </w:rPr>
      </w:pPr>
      <w:r>
        <w:br w:type="page"/>
      </w:r>
      <w:r>
        <w:rPr>
          <w:rFonts w:eastAsia="黑体"/>
          <w:sz w:val="32"/>
          <w:szCs w:val="32"/>
        </w:rPr>
        <w:t>附件</w:t>
      </w:r>
      <w:r>
        <w:rPr>
          <w:rFonts w:hint="eastAsia" w:eastAsia="仿宋_GB2312"/>
          <w:kern w:val="0"/>
          <w:sz w:val="32"/>
          <w:szCs w:val="32"/>
          <w:lang w:val="en-US" w:eastAsia="zh-CN"/>
        </w:rPr>
        <w:t>9</w:t>
      </w:r>
      <w:r>
        <w:rPr>
          <w:rFonts w:hint="eastAsia" w:eastAsia="仿宋_GB2312"/>
          <w:kern w:val="0"/>
          <w:sz w:val="32"/>
          <w:szCs w:val="32"/>
        </w:rPr>
        <w:t>—1</w:t>
      </w:r>
    </w:p>
    <w:p w14:paraId="6C3E3A9D">
      <w:pPr>
        <w:pStyle w:val="7"/>
        <w:keepNext w:val="0"/>
        <w:keepLines w:val="0"/>
        <w:pageBreakBefore w:val="0"/>
        <w:kinsoku/>
        <w:wordWrap/>
        <w:overflowPunct/>
        <w:topLinePunct w:val="0"/>
        <w:bidi w:val="0"/>
        <w:spacing w:before="0" w:line="560" w:lineRule="exact"/>
        <w:jc w:val="both"/>
        <w:textAlignment w:val="auto"/>
        <w:rPr>
          <w:rFonts w:ascii="Times New Roman" w:hAnsi="Times New Roman" w:eastAsia="方正小标宋简体"/>
          <w:sz w:val="44"/>
          <w:szCs w:val="44"/>
        </w:rPr>
      </w:pPr>
    </w:p>
    <w:p w14:paraId="543CDC9C">
      <w:pPr>
        <w:keepNext w:val="0"/>
        <w:keepLines w:val="0"/>
        <w:pageBreakBefore w:val="0"/>
        <w:kinsoku/>
        <w:wordWrap/>
        <w:overflowPunct/>
        <w:topLinePunct w:val="0"/>
        <w:bidi w:val="0"/>
        <w:snapToGrid w:val="0"/>
        <w:spacing w:line="56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天津市工程研究中心创新</w:t>
      </w:r>
      <w:r>
        <w:rPr>
          <w:rFonts w:ascii="方正小标宋简体" w:hAnsi="宋体" w:eastAsia="方正小标宋简体"/>
          <w:sz w:val="44"/>
          <w:szCs w:val="44"/>
        </w:rPr>
        <w:t>能力提升项目</w:t>
      </w:r>
    </w:p>
    <w:p w14:paraId="53F308A7">
      <w:pPr>
        <w:keepNext w:val="0"/>
        <w:keepLines w:val="0"/>
        <w:pageBreakBefore w:val="0"/>
        <w:kinsoku/>
        <w:wordWrap/>
        <w:overflowPunct/>
        <w:topLinePunct w:val="0"/>
        <w:bidi w:val="0"/>
        <w:snapToGrid w:val="0"/>
        <w:spacing w:line="560" w:lineRule="exact"/>
        <w:jc w:val="center"/>
        <w:textAlignment w:val="auto"/>
        <w:rPr>
          <w:rFonts w:hint="eastAsia" w:ascii="方正小标宋简体" w:hAnsi="宋体" w:eastAsia="方正小标宋简体"/>
          <w:sz w:val="52"/>
          <w:szCs w:val="52"/>
        </w:rPr>
      </w:pPr>
      <w:r>
        <w:rPr>
          <w:rFonts w:hint="eastAsia" w:ascii="方正小标宋简体" w:hAnsi="宋体" w:eastAsia="方正小标宋简体"/>
          <w:sz w:val="44"/>
          <w:szCs w:val="44"/>
        </w:rPr>
        <w:t>建设方案</w:t>
      </w:r>
    </w:p>
    <w:p w14:paraId="3E1B1291">
      <w:pPr>
        <w:keepNext w:val="0"/>
        <w:keepLines w:val="0"/>
        <w:pageBreakBefore w:val="0"/>
        <w:kinsoku/>
        <w:wordWrap/>
        <w:overflowPunct/>
        <w:topLinePunct w:val="0"/>
        <w:bidi w:val="0"/>
        <w:spacing w:line="560" w:lineRule="exact"/>
        <w:jc w:val="both"/>
        <w:textAlignment w:val="auto"/>
        <w:rPr>
          <w:rFonts w:hint="eastAsia" w:ascii="黑体" w:eastAsia="黑体"/>
          <w:sz w:val="30"/>
          <w:szCs w:val="30"/>
        </w:rPr>
      </w:pPr>
      <w:r>
        <w:rPr>
          <w:rFonts w:hint="eastAsia" w:ascii="黑体" w:eastAsia="黑体"/>
          <w:sz w:val="30"/>
          <w:szCs w:val="30"/>
        </w:rPr>
        <w:tab/>
      </w:r>
    </w:p>
    <w:p w14:paraId="344B8B92">
      <w:pPr>
        <w:keepNext w:val="0"/>
        <w:keepLines w:val="0"/>
        <w:pageBreakBefore w:val="0"/>
        <w:kinsoku/>
        <w:wordWrap/>
        <w:overflowPunct/>
        <w:topLinePunct w:val="0"/>
        <w:bidi w:val="0"/>
        <w:spacing w:line="560" w:lineRule="exact"/>
        <w:ind w:firstLine="622" w:firstLineChars="200"/>
        <w:jc w:val="both"/>
        <w:textAlignment w:val="auto"/>
        <w:rPr>
          <w:rFonts w:hint="eastAsia" w:ascii="黑体" w:eastAsia="黑体"/>
          <w:sz w:val="32"/>
          <w:szCs w:val="32"/>
        </w:rPr>
      </w:pPr>
      <w:r>
        <w:rPr>
          <w:rFonts w:hint="eastAsia" w:ascii="黑体" w:eastAsia="黑体"/>
          <w:sz w:val="32"/>
          <w:szCs w:val="32"/>
        </w:rPr>
        <w:t>一、概述</w:t>
      </w:r>
    </w:p>
    <w:p w14:paraId="60A6687C">
      <w:pPr>
        <w:keepNext w:val="0"/>
        <w:keepLines w:val="0"/>
        <w:pageBreakBefore w:val="0"/>
        <w:kinsoku/>
        <w:wordWrap/>
        <w:overflowPunct/>
        <w:topLinePunct w:val="0"/>
        <w:bidi w:val="0"/>
        <w:spacing w:line="560" w:lineRule="exact"/>
        <w:ind w:firstLine="622" w:firstLineChars="200"/>
        <w:jc w:val="both"/>
        <w:textAlignment w:val="auto"/>
        <w:rPr>
          <w:rFonts w:hint="eastAsia" w:ascii="楷体_GB2312" w:eastAsia="楷体_GB2312"/>
          <w:sz w:val="32"/>
          <w:szCs w:val="32"/>
          <w:lang w:val="en"/>
        </w:rPr>
      </w:pPr>
      <w:r>
        <w:rPr>
          <w:rFonts w:hint="eastAsia" w:ascii="楷体_GB2312" w:eastAsia="楷体_GB2312"/>
          <w:sz w:val="32"/>
          <w:szCs w:val="32"/>
          <w:lang w:val="en"/>
        </w:rPr>
        <w:t>（一）工程研究中心概述</w:t>
      </w:r>
    </w:p>
    <w:p w14:paraId="1C327E13">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lang w:val="en"/>
        </w:rPr>
      </w:pPr>
      <w:r>
        <w:rPr>
          <w:rFonts w:hint="eastAsia" w:eastAsia="仿宋_GB2312"/>
          <w:kern w:val="0"/>
          <w:sz w:val="32"/>
          <w:szCs w:val="32"/>
        </w:rPr>
        <w:t xml:space="preserve"> </w:t>
      </w:r>
      <w:r>
        <w:rPr>
          <w:rFonts w:hint="eastAsia" w:eastAsia="仿宋_GB2312"/>
          <w:kern w:val="0"/>
          <w:sz w:val="32"/>
          <w:szCs w:val="32"/>
          <w:lang w:val="en"/>
        </w:rPr>
        <w:t>工程研究中心全称。概述工程研究中心建设目标和任务、建设地点、建设内容和规模、建设工期、投资规模和资金来源、建设模式、主要技术经济指标等。</w:t>
      </w:r>
    </w:p>
    <w:p w14:paraId="129F3B73">
      <w:pPr>
        <w:keepNext w:val="0"/>
        <w:keepLines w:val="0"/>
        <w:pageBreakBefore w:val="0"/>
        <w:kinsoku/>
        <w:wordWrap/>
        <w:overflowPunct/>
        <w:topLinePunct w:val="0"/>
        <w:bidi w:val="0"/>
        <w:spacing w:line="560" w:lineRule="exact"/>
        <w:jc w:val="both"/>
        <w:textAlignment w:val="auto"/>
        <w:rPr>
          <w:rFonts w:hint="eastAsia" w:ascii="楷体_GB2312" w:eastAsia="楷体_GB2312"/>
          <w:sz w:val="32"/>
          <w:szCs w:val="32"/>
          <w:lang w:val="en"/>
        </w:rPr>
      </w:pPr>
      <w:r>
        <w:rPr>
          <w:rFonts w:hint="eastAsia" w:ascii="楷体_GB2312" w:eastAsia="楷体_GB2312"/>
          <w:sz w:val="32"/>
          <w:szCs w:val="32"/>
        </w:rPr>
        <w:t xml:space="preserve">    </w:t>
      </w:r>
      <w:r>
        <w:rPr>
          <w:rFonts w:hint="eastAsia" w:ascii="楷体_GB2312" w:eastAsia="楷体_GB2312"/>
          <w:sz w:val="32"/>
          <w:szCs w:val="32"/>
          <w:lang w:val="en"/>
        </w:rPr>
        <w:t>（二）组建单位概况</w:t>
      </w:r>
    </w:p>
    <w:p w14:paraId="7FFAED88">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简述工程研究中心依托单位基本信息、发展现状、财务状况、企业信用和总体能力，分析其综合能力与工程研究中心建设的匹配性。</w:t>
      </w:r>
    </w:p>
    <w:p w14:paraId="6A9954EE">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ascii="楷体_GB2312" w:eastAsia="楷体_GB2312"/>
          <w:sz w:val="32"/>
          <w:szCs w:val="32"/>
        </w:rPr>
        <w:t xml:space="preserve"> </w:t>
      </w:r>
      <w:r>
        <w:rPr>
          <w:rFonts w:hint="eastAsia" w:ascii="楷体_GB2312" w:eastAsia="楷体_GB2312"/>
          <w:sz w:val="32"/>
          <w:szCs w:val="32"/>
          <w:lang w:val="en"/>
        </w:rPr>
        <w:t>（三）编制依据</w:t>
      </w:r>
    </w:p>
    <w:p w14:paraId="60C164D6">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概述国家和地方有关支持性规划、产业政策和行业准入条件、企业战略、标准规范、专题研究成果，以及其他依据。</w:t>
      </w:r>
    </w:p>
    <w:p w14:paraId="78125161">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ascii="楷体_GB2312" w:eastAsia="楷体_GB2312"/>
          <w:sz w:val="32"/>
          <w:szCs w:val="32"/>
        </w:rPr>
        <w:t xml:space="preserve"> </w:t>
      </w:r>
      <w:r>
        <w:rPr>
          <w:rFonts w:hint="eastAsia" w:ascii="楷体_GB2312" w:eastAsia="楷体_GB2312"/>
          <w:sz w:val="32"/>
          <w:szCs w:val="32"/>
          <w:lang w:val="en"/>
        </w:rPr>
        <w:t>（四）主要结论和建议</w:t>
      </w:r>
    </w:p>
    <w:p w14:paraId="42B0D2D4">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简述工程研究中心建设可行性的主要结论和建议。</w:t>
      </w:r>
    </w:p>
    <w:p w14:paraId="22D5ECFD">
      <w:pPr>
        <w:keepNext w:val="0"/>
        <w:keepLines w:val="0"/>
        <w:pageBreakBefore w:val="0"/>
        <w:kinsoku/>
        <w:wordWrap/>
        <w:overflowPunct/>
        <w:topLinePunct w:val="0"/>
        <w:bidi w:val="0"/>
        <w:spacing w:line="560" w:lineRule="exact"/>
        <w:jc w:val="both"/>
        <w:textAlignment w:val="auto"/>
        <w:rPr>
          <w:rFonts w:hint="eastAsia" w:ascii="黑体" w:eastAsia="黑体"/>
          <w:sz w:val="32"/>
          <w:szCs w:val="32"/>
        </w:rPr>
      </w:pPr>
      <w:r>
        <w:rPr>
          <w:rFonts w:hint="eastAsia" w:ascii="黑体" w:eastAsia="黑体"/>
          <w:sz w:val="32"/>
          <w:szCs w:val="32"/>
        </w:rPr>
        <w:t xml:space="preserve">   二、工程研究中心建设背景、需求分析及产出方案</w:t>
      </w:r>
    </w:p>
    <w:p w14:paraId="5B201743">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rPr>
        <w:t xml:space="preserve"> </w:t>
      </w:r>
      <w:r>
        <w:rPr>
          <w:rFonts w:hint="eastAsia" w:ascii="楷体_GB2312" w:eastAsia="楷体_GB2312"/>
          <w:sz w:val="32"/>
          <w:szCs w:val="32"/>
          <w:lang w:val="en"/>
        </w:rPr>
        <w:t>（一）规划政策符合性</w:t>
      </w:r>
    </w:p>
    <w:p w14:paraId="39EF6098">
      <w:pPr>
        <w:keepNext w:val="0"/>
        <w:keepLines w:val="0"/>
        <w:pageBreakBefore w:val="0"/>
        <w:widowControl/>
        <w:kinsoku/>
        <w:wordWrap/>
        <w:overflowPunct/>
        <w:topLinePunct w:val="0"/>
        <w:bidi w:val="0"/>
        <w:spacing w:line="560" w:lineRule="exact"/>
        <w:ind w:firstLine="445" w:firstLineChars="143"/>
        <w:jc w:val="both"/>
        <w:textAlignment w:val="auto"/>
        <w:rPr>
          <w:rFonts w:eastAsia="仿宋_GB2312"/>
          <w:kern w:val="0"/>
          <w:sz w:val="32"/>
          <w:szCs w:val="32"/>
          <w:lang w:val="en"/>
        </w:rPr>
      </w:pPr>
      <w:r>
        <w:rPr>
          <w:rFonts w:hint="eastAsia" w:eastAsia="仿宋_GB2312"/>
          <w:kern w:val="0"/>
          <w:sz w:val="32"/>
          <w:szCs w:val="32"/>
        </w:rPr>
        <w:t xml:space="preserve"> </w:t>
      </w:r>
      <w:r>
        <w:rPr>
          <w:rFonts w:hint="eastAsia" w:eastAsia="仿宋_GB2312"/>
          <w:kern w:val="0"/>
          <w:sz w:val="32"/>
          <w:szCs w:val="32"/>
          <w:lang w:val="en"/>
        </w:rPr>
        <w:t>简述工程研究中心建设背景和前期工作进展情况，论述拟建设工程研究中心与经济社会发展规划、产业政策、行业和市场准入标准的符合性。</w:t>
      </w:r>
    </w:p>
    <w:p w14:paraId="57F94CDB">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rPr>
        <w:t xml:space="preserve"> </w:t>
      </w:r>
      <w:r>
        <w:rPr>
          <w:rFonts w:hint="eastAsia" w:ascii="楷体_GB2312" w:eastAsia="楷体_GB2312"/>
          <w:sz w:val="32"/>
          <w:szCs w:val="32"/>
          <w:lang w:val="en"/>
        </w:rPr>
        <w:t>（二）工程研究中心发展战略需求分析</w:t>
      </w:r>
    </w:p>
    <w:p w14:paraId="4FD4A8AE">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lang w:val="en"/>
        </w:rPr>
      </w:pPr>
      <w:r>
        <w:rPr>
          <w:rFonts w:hint="eastAsia" w:eastAsia="仿宋_GB2312"/>
          <w:kern w:val="0"/>
          <w:sz w:val="32"/>
          <w:szCs w:val="32"/>
        </w:rPr>
        <w:t xml:space="preserve"> 阐述</w:t>
      </w:r>
      <w:r>
        <w:rPr>
          <w:rFonts w:hint="eastAsia" w:ascii="楷体_GB2312" w:eastAsia="楷体_GB2312"/>
          <w:sz w:val="32"/>
          <w:szCs w:val="32"/>
          <w:lang w:val="en"/>
        </w:rPr>
        <w:t>工程研究中心</w:t>
      </w:r>
      <w:r>
        <w:rPr>
          <w:rFonts w:hint="eastAsia" w:eastAsia="仿宋_GB2312"/>
          <w:kern w:val="0"/>
          <w:sz w:val="32"/>
          <w:szCs w:val="32"/>
          <w:lang w:val="en"/>
        </w:rPr>
        <w:t>发展战略</w:t>
      </w:r>
      <w:r>
        <w:rPr>
          <w:rFonts w:hint="eastAsia" w:eastAsia="仿宋_GB2312"/>
          <w:kern w:val="0"/>
          <w:sz w:val="32"/>
          <w:szCs w:val="32"/>
        </w:rPr>
        <w:t>，论述工程研究中心建设</w:t>
      </w:r>
      <w:r>
        <w:rPr>
          <w:rFonts w:hint="eastAsia" w:eastAsia="仿宋_GB2312"/>
          <w:kern w:val="0"/>
          <w:sz w:val="32"/>
          <w:szCs w:val="32"/>
          <w:lang w:val="en"/>
        </w:rPr>
        <w:t>对促进</w:t>
      </w:r>
      <w:r>
        <w:rPr>
          <w:rFonts w:hint="eastAsia" w:ascii="楷体_GB2312" w:eastAsia="楷体_GB2312"/>
          <w:sz w:val="32"/>
          <w:szCs w:val="32"/>
        </w:rPr>
        <w:t>依托单位</w:t>
      </w:r>
      <w:r>
        <w:rPr>
          <w:rFonts w:hint="eastAsia" w:eastAsia="仿宋_GB2312"/>
          <w:kern w:val="0"/>
          <w:sz w:val="32"/>
          <w:szCs w:val="32"/>
          <w:lang w:val="en"/>
        </w:rPr>
        <w:t>发展实现的重要性和紧迫性。</w:t>
      </w:r>
    </w:p>
    <w:p w14:paraId="2D2CC282">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rPr>
        <w:t xml:space="preserve"> </w:t>
      </w:r>
      <w:r>
        <w:rPr>
          <w:rFonts w:hint="eastAsia" w:ascii="楷体_GB2312" w:eastAsia="楷体_GB2312"/>
          <w:sz w:val="32"/>
          <w:szCs w:val="32"/>
          <w:lang w:val="en"/>
        </w:rPr>
        <w:t>（三）技术与市场需求分析</w:t>
      </w:r>
    </w:p>
    <w:p w14:paraId="0A546DED">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lang w:val="en"/>
        </w:rPr>
      </w:pPr>
      <w:r>
        <w:rPr>
          <w:rFonts w:hint="eastAsia" w:eastAsia="仿宋_GB2312"/>
          <w:kern w:val="0"/>
          <w:sz w:val="32"/>
          <w:szCs w:val="32"/>
        </w:rPr>
        <w:t xml:space="preserve"> </w:t>
      </w:r>
      <w:r>
        <w:rPr>
          <w:rFonts w:hint="eastAsia" w:eastAsia="仿宋_GB2312"/>
          <w:kern w:val="0"/>
          <w:sz w:val="32"/>
          <w:szCs w:val="32"/>
          <w:lang w:val="en"/>
        </w:rPr>
        <w:t>分析</w:t>
      </w:r>
      <w:r>
        <w:rPr>
          <w:rFonts w:eastAsia="仿宋_GB2312"/>
          <w:kern w:val="0"/>
          <w:sz w:val="32"/>
          <w:szCs w:val="32"/>
        </w:rPr>
        <w:t>技术主要发展状况与趋势预测、</w:t>
      </w:r>
      <w:r>
        <w:rPr>
          <w:rFonts w:hint="eastAsia" w:eastAsia="仿宋_GB2312"/>
          <w:kern w:val="0"/>
          <w:sz w:val="32"/>
          <w:szCs w:val="32"/>
        </w:rPr>
        <w:t>工程研究中心</w:t>
      </w:r>
      <w:r>
        <w:rPr>
          <w:rFonts w:eastAsia="仿宋_GB2312"/>
          <w:kern w:val="0"/>
          <w:sz w:val="32"/>
          <w:szCs w:val="32"/>
        </w:rPr>
        <w:t>的优势与问题</w:t>
      </w:r>
      <w:r>
        <w:rPr>
          <w:rFonts w:hint="eastAsia" w:eastAsia="仿宋_GB2312"/>
          <w:kern w:val="0"/>
          <w:sz w:val="32"/>
          <w:szCs w:val="32"/>
          <w:lang w:val="en"/>
        </w:rPr>
        <w:t>；</w:t>
      </w:r>
      <w:r>
        <w:rPr>
          <w:rFonts w:eastAsia="仿宋_GB2312"/>
          <w:kern w:val="0"/>
          <w:sz w:val="32"/>
          <w:szCs w:val="32"/>
        </w:rPr>
        <w:t>国内外市场状况与发展趋势预测、目标市场与市场占有率分析</w:t>
      </w:r>
      <w:r>
        <w:rPr>
          <w:rFonts w:hint="eastAsia" w:eastAsia="仿宋_GB2312"/>
          <w:kern w:val="0"/>
          <w:sz w:val="32"/>
          <w:szCs w:val="32"/>
        </w:rPr>
        <w:t>；</w:t>
      </w:r>
      <w:r>
        <w:rPr>
          <w:rFonts w:eastAsia="仿宋_GB2312"/>
          <w:kern w:val="0"/>
          <w:sz w:val="32"/>
          <w:szCs w:val="32"/>
        </w:rPr>
        <w:t>技术与市场的竞争力分析（国内外主要竞争对手情况、技术与市场的竞争力优势和劣势）</w:t>
      </w:r>
      <w:r>
        <w:rPr>
          <w:rFonts w:hint="eastAsia" w:eastAsia="仿宋_GB2312"/>
          <w:kern w:val="0"/>
          <w:sz w:val="32"/>
          <w:szCs w:val="32"/>
          <w:lang w:val="en"/>
        </w:rPr>
        <w:t>。</w:t>
      </w:r>
    </w:p>
    <w:p w14:paraId="7953C025">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（四）工程研究中心建设内容、规模和产出方案</w:t>
      </w:r>
    </w:p>
    <w:p w14:paraId="217255D5">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阐述拟建工程研究中心总体目标及分阶段目标</w:t>
      </w:r>
      <w:r>
        <w:rPr>
          <w:rFonts w:eastAsia="仿宋_GB2312"/>
          <w:kern w:val="0"/>
          <w:sz w:val="32"/>
          <w:szCs w:val="32"/>
          <w:lang w:val="en"/>
        </w:rPr>
        <w:t>，</w:t>
      </w:r>
      <w:r>
        <w:rPr>
          <w:rFonts w:hint="eastAsia" w:eastAsia="仿宋_GB2312"/>
          <w:kern w:val="0"/>
          <w:sz w:val="32"/>
          <w:szCs w:val="32"/>
        </w:rPr>
        <w:t>提出建设内容和规模</w:t>
      </w:r>
      <w:r>
        <w:rPr>
          <w:rFonts w:eastAsia="仿宋_GB2312"/>
          <w:kern w:val="0"/>
          <w:sz w:val="32"/>
          <w:szCs w:val="32"/>
          <w:lang w:val="en"/>
        </w:rPr>
        <w:t>，</w:t>
      </w:r>
      <w:r>
        <w:rPr>
          <w:rFonts w:hint="eastAsia" w:eastAsia="仿宋_GB2312"/>
          <w:kern w:val="0"/>
          <w:sz w:val="32"/>
          <w:szCs w:val="32"/>
        </w:rPr>
        <w:t>明确</w:t>
      </w:r>
      <w:r>
        <w:rPr>
          <w:rFonts w:eastAsia="仿宋_GB2312"/>
          <w:kern w:val="0"/>
          <w:sz w:val="32"/>
          <w:szCs w:val="32"/>
        </w:rPr>
        <w:t>拟产业化的重要科技成果</w:t>
      </w:r>
      <w:r>
        <w:rPr>
          <w:rFonts w:hint="eastAsia" w:eastAsia="仿宋_GB2312"/>
          <w:kern w:val="0"/>
          <w:sz w:val="32"/>
          <w:szCs w:val="32"/>
        </w:rPr>
        <w:t>，并评价方案的合理性。</w:t>
      </w:r>
    </w:p>
    <w:p w14:paraId="7DC98079">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黑体" w:eastAsia="黑体"/>
          <w:sz w:val="32"/>
          <w:szCs w:val="32"/>
        </w:rPr>
      </w:pPr>
      <w:r>
        <w:rPr>
          <w:rFonts w:hint="eastAsia" w:ascii="黑体" w:eastAsia="黑体"/>
          <w:sz w:val="32"/>
          <w:szCs w:val="32"/>
        </w:rPr>
        <w:t>三、工程研究中心选址与要素保障</w:t>
      </w:r>
    </w:p>
    <w:p w14:paraId="7B8531D6">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（一）工程研究中心选址</w:t>
      </w:r>
    </w:p>
    <w:p w14:paraId="74D02F75">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明确工程研究中心建设地点、用地规模、土地利用状况等情况。</w:t>
      </w:r>
    </w:p>
    <w:p w14:paraId="0A783E1E">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（二）工程研究中心建设条件</w:t>
      </w:r>
    </w:p>
    <w:p w14:paraId="05808A67">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分析拟建工程研究中心所在区域的自然环境、交通运输、公用工程等建设条件，现有设施条件的容量和支撑能力。</w:t>
      </w:r>
    </w:p>
    <w:p w14:paraId="1C3F0180">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（三）要素保障分析</w:t>
      </w:r>
    </w:p>
    <w:p w14:paraId="114C2914">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分析拟建工程研究中心相关的人力、财力、物力、政策制度、用地用海、资源环境等要素保障条件。</w:t>
      </w:r>
    </w:p>
    <w:p w14:paraId="1035ABC9">
      <w:pPr>
        <w:keepNext w:val="0"/>
        <w:keepLines w:val="0"/>
        <w:pageBreakBefore w:val="0"/>
        <w:kinsoku/>
        <w:wordWrap/>
        <w:overflowPunct/>
        <w:topLinePunct w:val="0"/>
        <w:bidi w:val="0"/>
        <w:spacing w:line="560" w:lineRule="exact"/>
        <w:jc w:val="both"/>
        <w:textAlignment w:val="auto"/>
        <w:rPr>
          <w:rFonts w:hint="eastAsia" w:ascii="黑体" w:eastAsia="黑体"/>
          <w:sz w:val="32"/>
          <w:szCs w:val="32"/>
        </w:rPr>
      </w:pPr>
      <w:r>
        <w:rPr>
          <w:rFonts w:hint="eastAsia" w:ascii="黑体" w:eastAsia="黑体"/>
          <w:sz w:val="32"/>
          <w:szCs w:val="32"/>
        </w:rPr>
        <w:t xml:space="preserve">    四、工程研究中心建设方案</w:t>
      </w:r>
    </w:p>
    <w:p w14:paraId="6C8212B7">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（一）技术方案</w:t>
      </w:r>
    </w:p>
    <w:p w14:paraId="2B499D3A">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提出工程研究中心工艺技术和流程、配套工程、技术来源及其实现路径</w:t>
      </w:r>
      <w:r>
        <w:rPr>
          <w:rFonts w:eastAsia="仿宋_GB2312"/>
          <w:kern w:val="0"/>
          <w:sz w:val="32"/>
          <w:szCs w:val="32"/>
          <w:lang w:val="en"/>
        </w:rPr>
        <w:t>，</w:t>
      </w:r>
      <w:r>
        <w:rPr>
          <w:rFonts w:hint="eastAsia" w:eastAsia="仿宋_GB2312"/>
          <w:kern w:val="0"/>
          <w:sz w:val="32"/>
          <w:szCs w:val="32"/>
        </w:rPr>
        <w:t>论证技术的适用性、可靠性和先进性。对于专利或关键核心技术</w:t>
      </w:r>
      <w:r>
        <w:rPr>
          <w:rFonts w:eastAsia="仿宋_GB2312"/>
          <w:kern w:val="0"/>
          <w:sz w:val="32"/>
          <w:szCs w:val="32"/>
          <w:lang w:val="en"/>
        </w:rPr>
        <w:t>，</w:t>
      </w:r>
      <w:r>
        <w:rPr>
          <w:rFonts w:hint="eastAsia" w:eastAsia="仿宋_GB2312"/>
          <w:kern w:val="0"/>
          <w:sz w:val="32"/>
          <w:szCs w:val="32"/>
        </w:rPr>
        <w:t>需要分析其获取方式、知识产权保护、技术标准和自主可控性等。简述推荐技术路线的理由</w:t>
      </w:r>
      <w:r>
        <w:rPr>
          <w:rFonts w:eastAsia="仿宋_GB2312"/>
          <w:kern w:val="0"/>
          <w:sz w:val="32"/>
          <w:szCs w:val="32"/>
          <w:lang w:val="en"/>
        </w:rPr>
        <w:t>，</w:t>
      </w:r>
      <w:r>
        <w:rPr>
          <w:rFonts w:hint="eastAsia" w:eastAsia="仿宋_GB2312"/>
          <w:kern w:val="0"/>
          <w:sz w:val="32"/>
          <w:szCs w:val="32"/>
        </w:rPr>
        <w:t>提出相应的技术指标。</w:t>
      </w:r>
    </w:p>
    <w:p w14:paraId="46E5D723">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（二）设备方案</w:t>
      </w:r>
    </w:p>
    <w:p w14:paraId="3993DD8A">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提出拟建工程研究中心主要设备（含软件）的规格、数量和性能参数等内容</w:t>
      </w:r>
      <w:r>
        <w:rPr>
          <w:rFonts w:eastAsia="仿宋_GB2312"/>
          <w:kern w:val="0"/>
          <w:sz w:val="32"/>
          <w:szCs w:val="32"/>
          <w:lang w:val="en"/>
        </w:rPr>
        <w:t>，</w:t>
      </w:r>
      <w:r>
        <w:rPr>
          <w:rFonts w:hint="eastAsia" w:eastAsia="仿宋_GB2312"/>
          <w:kern w:val="0"/>
          <w:sz w:val="32"/>
          <w:szCs w:val="32"/>
        </w:rPr>
        <w:t>论述设备（含软件）与技术的匹配性和可靠性、设备和软件对工程方案的设计技术需求</w:t>
      </w:r>
      <w:r>
        <w:rPr>
          <w:rFonts w:eastAsia="仿宋_GB2312"/>
          <w:kern w:val="0"/>
          <w:sz w:val="32"/>
          <w:szCs w:val="32"/>
          <w:lang w:val="en"/>
        </w:rPr>
        <w:t>，</w:t>
      </w:r>
      <w:r>
        <w:rPr>
          <w:rFonts w:hint="eastAsia" w:eastAsia="仿宋_GB2312"/>
          <w:kern w:val="0"/>
          <w:sz w:val="32"/>
          <w:szCs w:val="32"/>
        </w:rPr>
        <w:t>提出关键设备和软件推荐方案及自主知识产权情况。</w:t>
      </w:r>
    </w:p>
    <w:p w14:paraId="64FEC853">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（三）工程方案</w:t>
      </w:r>
    </w:p>
    <w:p w14:paraId="50322399">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提出工程建设标准、工程总体布置、主要建（构）筑物和系统设计方案、外部运输方案、公用工程方案及其他配套设施方案</w:t>
      </w:r>
      <w:r>
        <w:rPr>
          <w:rFonts w:eastAsia="仿宋_GB2312"/>
          <w:kern w:val="0"/>
          <w:sz w:val="32"/>
          <w:szCs w:val="32"/>
          <w:lang w:val="en"/>
        </w:rPr>
        <w:t>，</w:t>
      </w:r>
      <w:r>
        <w:rPr>
          <w:rFonts w:hint="eastAsia" w:eastAsia="仿宋_GB2312"/>
          <w:kern w:val="0"/>
          <w:sz w:val="32"/>
          <w:szCs w:val="32"/>
        </w:rPr>
        <w:t>明确工程安全质量和安全保障措施</w:t>
      </w:r>
      <w:r>
        <w:rPr>
          <w:rFonts w:eastAsia="仿宋_GB2312"/>
          <w:kern w:val="0"/>
          <w:sz w:val="32"/>
          <w:szCs w:val="32"/>
          <w:lang w:val="en"/>
        </w:rPr>
        <w:t>，</w:t>
      </w:r>
      <w:r>
        <w:rPr>
          <w:rFonts w:hint="eastAsia" w:eastAsia="仿宋_GB2312"/>
          <w:kern w:val="0"/>
          <w:sz w:val="32"/>
          <w:szCs w:val="32"/>
        </w:rPr>
        <w:t>对重大问题制定应对方案。</w:t>
      </w:r>
    </w:p>
    <w:p w14:paraId="3E32B1D7">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（四）数字化方案</w:t>
      </w:r>
    </w:p>
    <w:p w14:paraId="7F6EC6B6">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对于具备条件的工程研究中心</w:t>
      </w:r>
      <w:r>
        <w:rPr>
          <w:rFonts w:eastAsia="仿宋_GB2312"/>
          <w:kern w:val="0"/>
          <w:sz w:val="32"/>
          <w:szCs w:val="32"/>
          <w:lang w:val="en"/>
        </w:rPr>
        <w:t>，</w:t>
      </w:r>
      <w:r>
        <w:rPr>
          <w:rFonts w:hint="eastAsia" w:eastAsia="仿宋_GB2312"/>
          <w:kern w:val="0"/>
          <w:sz w:val="32"/>
          <w:szCs w:val="32"/>
        </w:rPr>
        <w:t>研究提出拟建工程研究中心数字化应用方案。</w:t>
      </w:r>
    </w:p>
    <w:p w14:paraId="3C05ED84">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（五）建设管理方案</w:t>
      </w:r>
    </w:p>
    <w:p w14:paraId="1E01DBF6">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提出工程研究中心建设组织模式、控制性工期和分期实施方案</w:t>
      </w:r>
      <w:r>
        <w:rPr>
          <w:rFonts w:eastAsia="仿宋_GB2312"/>
          <w:kern w:val="0"/>
          <w:sz w:val="32"/>
          <w:szCs w:val="32"/>
          <w:lang w:val="en"/>
        </w:rPr>
        <w:t>，</w:t>
      </w:r>
      <w:r>
        <w:rPr>
          <w:rFonts w:hint="eastAsia" w:eastAsia="仿宋_GB2312"/>
          <w:kern w:val="0"/>
          <w:sz w:val="32"/>
          <w:szCs w:val="32"/>
        </w:rPr>
        <w:t>方案应满足投资管理合规性和施工安全管理要求。如果涉及招标</w:t>
      </w:r>
      <w:r>
        <w:rPr>
          <w:rFonts w:eastAsia="仿宋_GB2312"/>
          <w:kern w:val="0"/>
          <w:sz w:val="32"/>
          <w:szCs w:val="32"/>
          <w:lang w:val="en"/>
        </w:rPr>
        <w:t>，</w:t>
      </w:r>
      <w:r>
        <w:rPr>
          <w:rFonts w:hint="eastAsia" w:eastAsia="仿宋_GB2312"/>
          <w:kern w:val="0"/>
          <w:sz w:val="32"/>
          <w:szCs w:val="32"/>
        </w:rPr>
        <w:t>明确招标范围、招标组织形式和招标方式等。</w:t>
      </w:r>
    </w:p>
    <w:p w14:paraId="6ACC934B">
      <w:pPr>
        <w:keepNext w:val="0"/>
        <w:keepLines w:val="0"/>
        <w:pageBreakBefore w:val="0"/>
        <w:kinsoku/>
        <w:wordWrap/>
        <w:overflowPunct/>
        <w:topLinePunct w:val="0"/>
        <w:bidi w:val="0"/>
        <w:spacing w:line="560" w:lineRule="exact"/>
        <w:jc w:val="both"/>
        <w:textAlignment w:val="auto"/>
        <w:rPr>
          <w:rFonts w:hint="eastAsia" w:ascii="黑体" w:eastAsia="黑体"/>
          <w:sz w:val="32"/>
          <w:szCs w:val="32"/>
        </w:rPr>
      </w:pPr>
      <w:r>
        <w:rPr>
          <w:rFonts w:hint="eastAsia" w:ascii="黑体" w:eastAsia="黑体"/>
          <w:sz w:val="32"/>
          <w:szCs w:val="32"/>
        </w:rPr>
        <w:t xml:space="preserve">    五、工程研究中心运行方案</w:t>
      </w:r>
    </w:p>
    <w:p w14:paraId="4BD95427">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（一）</w:t>
      </w:r>
      <w:r>
        <w:rPr>
          <w:rFonts w:hint="eastAsia" w:ascii="楷体_GB2312" w:eastAsia="楷体_GB2312"/>
          <w:sz w:val="32"/>
          <w:szCs w:val="32"/>
        </w:rPr>
        <w:t>运行保障</w:t>
      </w:r>
      <w:r>
        <w:rPr>
          <w:rFonts w:hint="eastAsia" w:ascii="楷体_GB2312" w:eastAsia="楷体_GB2312"/>
          <w:sz w:val="32"/>
          <w:szCs w:val="32"/>
          <w:lang w:val="en"/>
        </w:rPr>
        <w:t>方案</w:t>
      </w:r>
    </w:p>
    <w:p w14:paraId="78E11BDF">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提出拟建工程研究中心的物料供应保障方案以及维护维修方案</w:t>
      </w:r>
      <w:r>
        <w:rPr>
          <w:rFonts w:eastAsia="仿宋_GB2312"/>
          <w:kern w:val="0"/>
          <w:sz w:val="32"/>
          <w:szCs w:val="32"/>
          <w:lang w:val="en"/>
        </w:rPr>
        <w:t>，</w:t>
      </w:r>
      <w:r>
        <w:rPr>
          <w:rFonts w:hint="eastAsia" w:eastAsia="仿宋_GB2312"/>
          <w:kern w:val="0"/>
          <w:sz w:val="32"/>
          <w:szCs w:val="32"/>
        </w:rPr>
        <w:t>明确主要技术带头人、技术团队及管理人员的人员保障方案，研究提出工程研究中心对外运营服务方案。</w:t>
      </w:r>
    </w:p>
    <w:p w14:paraId="12254544">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（二）安全保障方案</w:t>
      </w:r>
    </w:p>
    <w:p w14:paraId="2D9DE557">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分析工程研究中心运营管理中存在的危险因素及其危害程度</w:t>
      </w:r>
      <w:r>
        <w:rPr>
          <w:rFonts w:eastAsia="仿宋_GB2312"/>
          <w:kern w:val="0"/>
          <w:sz w:val="32"/>
          <w:szCs w:val="32"/>
          <w:lang w:val="en"/>
        </w:rPr>
        <w:t>，</w:t>
      </w:r>
      <w:r>
        <w:rPr>
          <w:rFonts w:hint="eastAsia" w:eastAsia="仿宋_GB2312"/>
          <w:kern w:val="0"/>
          <w:sz w:val="32"/>
          <w:szCs w:val="32"/>
        </w:rPr>
        <w:t>明确安全生产责任制</w:t>
      </w:r>
      <w:r>
        <w:rPr>
          <w:rFonts w:eastAsia="仿宋_GB2312"/>
          <w:kern w:val="0"/>
          <w:sz w:val="32"/>
          <w:szCs w:val="32"/>
          <w:lang w:val="en"/>
        </w:rPr>
        <w:t>，</w:t>
      </w:r>
      <w:r>
        <w:rPr>
          <w:rFonts w:hint="eastAsia" w:eastAsia="仿宋_GB2312"/>
          <w:kern w:val="0"/>
          <w:sz w:val="32"/>
          <w:szCs w:val="32"/>
        </w:rPr>
        <w:t>设置安全管理机构</w:t>
      </w:r>
      <w:r>
        <w:rPr>
          <w:rFonts w:eastAsia="仿宋_GB2312"/>
          <w:kern w:val="0"/>
          <w:sz w:val="32"/>
          <w:szCs w:val="32"/>
          <w:lang w:val="en"/>
        </w:rPr>
        <w:t>，</w:t>
      </w:r>
      <w:r>
        <w:rPr>
          <w:rFonts w:hint="eastAsia" w:eastAsia="仿宋_GB2312"/>
          <w:kern w:val="0"/>
          <w:sz w:val="32"/>
          <w:szCs w:val="32"/>
        </w:rPr>
        <w:t>建立安全管理体系</w:t>
      </w:r>
      <w:r>
        <w:rPr>
          <w:rFonts w:eastAsia="仿宋_GB2312"/>
          <w:kern w:val="0"/>
          <w:sz w:val="32"/>
          <w:szCs w:val="32"/>
          <w:lang w:val="en"/>
        </w:rPr>
        <w:t>，</w:t>
      </w:r>
      <w:r>
        <w:rPr>
          <w:rFonts w:hint="eastAsia" w:eastAsia="仿宋_GB2312"/>
          <w:kern w:val="0"/>
          <w:sz w:val="32"/>
          <w:szCs w:val="32"/>
        </w:rPr>
        <w:t>提出安全防范措施</w:t>
      </w:r>
      <w:r>
        <w:rPr>
          <w:rFonts w:eastAsia="仿宋_GB2312"/>
          <w:kern w:val="0"/>
          <w:sz w:val="32"/>
          <w:szCs w:val="32"/>
          <w:lang w:val="en"/>
        </w:rPr>
        <w:t>，</w:t>
      </w:r>
      <w:r>
        <w:rPr>
          <w:rFonts w:hint="eastAsia" w:eastAsia="仿宋_GB2312"/>
          <w:kern w:val="0"/>
          <w:sz w:val="32"/>
          <w:szCs w:val="32"/>
        </w:rPr>
        <w:t>制定安全应急管理预案。</w:t>
      </w:r>
    </w:p>
    <w:p w14:paraId="2EDDD15B">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（三）运行</w:t>
      </w:r>
      <w:r>
        <w:rPr>
          <w:rFonts w:hint="eastAsia" w:ascii="楷体_GB2312" w:eastAsia="楷体_GB2312"/>
          <w:sz w:val="32"/>
          <w:szCs w:val="32"/>
        </w:rPr>
        <w:t>组织</w:t>
      </w:r>
      <w:r>
        <w:rPr>
          <w:rFonts w:hint="eastAsia" w:ascii="楷体_GB2312" w:eastAsia="楷体_GB2312"/>
          <w:sz w:val="32"/>
          <w:szCs w:val="32"/>
          <w:lang w:val="en"/>
        </w:rPr>
        <w:t>方案</w:t>
      </w:r>
    </w:p>
    <w:p w14:paraId="0E9BF1D7">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明确工程研究中心的机构设置与职责</w:t>
      </w:r>
      <w:r>
        <w:rPr>
          <w:rFonts w:eastAsia="仿宋_GB2312"/>
          <w:kern w:val="0"/>
          <w:sz w:val="32"/>
          <w:szCs w:val="32"/>
          <w:lang w:val="en"/>
        </w:rPr>
        <w:t>，</w:t>
      </w:r>
      <w:r>
        <w:rPr>
          <w:rFonts w:hint="eastAsia" w:eastAsia="仿宋_GB2312"/>
          <w:kern w:val="0"/>
          <w:sz w:val="32"/>
          <w:szCs w:val="32"/>
        </w:rPr>
        <w:t>简述工程研究中心日常管理和运行、人力资源配置方案、激励机制等制度。</w:t>
      </w:r>
    </w:p>
    <w:p w14:paraId="47A81442">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（四）绩效管理方案</w:t>
      </w:r>
    </w:p>
    <w:p w14:paraId="6573A738">
      <w:pPr>
        <w:keepNext w:val="0"/>
        <w:keepLines w:val="0"/>
        <w:pageBreakBefore w:val="0"/>
        <w:widowControl/>
        <w:kinsoku/>
        <w:wordWrap/>
        <w:overflowPunct/>
        <w:topLinePunct w:val="0"/>
        <w:bidi w:val="0"/>
        <w:spacing w:line="560" w:lineRule="exact"/>
        <w:jc w:val="both"/>
        <w:textAlignment w:val="auto"/>
        <w:rPr>
          <w:rFonts w:eastAsia="仿宋_GB2312"/>
          <w:kern w:val="0"/>
          <w:sz w:val="32"/>
          <w:szCs w:val="32"/>
        </w:rPr>
      </w:pPr>
      <w:r>
        <w:rPr>
          <w:rFonts w:hint="eastAsia" w:ascii="FZFangSong-Z02" w:hAnsi="FZFangSong-Z02" w:eastAsia="FZFangSong-Z02" w:cs="FZFangSong-Z02"/>
          <w:color w:val="000000"/>
          <w:kern w:val="0"/>
          <w:sz w:val="30"/>
          <w:szCs w:val="30"/>
          <w:lang w:bidi="ar"/>
        </w:rPr>
        <w:t xml:space="preserve">    </w:t>
      </w:r>
      <w:r>
        <w:rPr>
          <w:rFonts w:hint="eastAsia" w:eastAsia="仿宋_GB2312"/>
          <w:color w:val="000000"/>
          <w:kern w:val="0"/>
          <w:sz w:val="32"/>
          <w:szCs w:val="32"/>
          <w:lang w:bidi="ar"/>
        </w:rPr>
        <w:t xml:space="preserve">提出工程研究中心主要投入产出效率、直接效果、外部影响和可持续性等管理方案，明确工程研究中心的阶段性绩效目标，并说明影响绩效目标实现的关键因素。 </w:t>
      </w:r>
    </w:p>
    <w:p w14:paraId="46CBC6DD">
      <w:pPr>
        <w:keepNext w:val="0"/>
        <w:keepLines w:val="0"/>
        <w:pageBreakBefore w:val="0"/>
        <w:kinsoku/>
        <w:wordWrap/>
        <w:overflowPunct/>
        <w:topLinePunct w:val="0"/>
        <w:bidi w:val="0"/>
        <w:spacing w:line="560" w:lineRule="exact"/>
        <w:jc w:val="both"/>
        <w:textAlignment w:val="auto"/>
        <w:rPr>
          <w:rFonts w:hint="eastAsia" w:ascii="黑体" w:eastAsia="黑体"/>
          <w:sz w:val="32"/>
          <w:szCs w:val="32"/>
        </w:rPr>
      </w:pPr>
      <w:r>
        <w:rPr>
          <w:rFonts w:hint="eastAsia" w:ascii="黑体" w:eastAsia="黑体"/>
          <w:sz w:val="32"/>
          <w:szCs w:val="32"/>
        </w:rPr>
        <w:t xml:space="preserve">    六、工程研究中心投融资与财务方案</w:t>
      </w:r>
    </w:p>
    <w:p w14:paraId="60A8C814">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（一）投资估算</w:t>
      </w:r>
    </w:p>
    <w:p w14:paraId="6F70A118">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说明投资估算编制范围、编制依据</w:t>
      </w:r>
      <w:r>
        <w:rPr>
          <w:rFonts w:eastAsia="仿宋_GB2312"/>
          <w:kern w:val="0"/>
          <w:sz w:val="32"/>
          <w:szCs w:val="32"/>
          <w:lang w:val="en"/>
        </w:rPr>
        <w:t>，</w:t>
      </w:r>
      <w:r>
        <w:rPr>
          <w:rFonts w:hint="eastAsia" w:eastAsia="仿宋_GB2312"/>
          <w:kern w:val="0"/>
          <w:sz w:val="32"/>
          <w:szCs w:val="32"/>
        </w:rPr>
        <w:t>估算工程研究中心建设投资、流动资金、建设期融资费用</w:t>
      </w:r>
      <w:r>
        <w:rPr>
          <w:rFonts w:eastAsia="仿宋_GB2312"/>
          <w:kern w:val="0"/>
          <w:sz w:val="32"/>
          <w:szCs w:val="32"/>
          <w:lang w:val="en"/>
        </w:rPr>
        <w:t>，</w:t>
      </w:r>
      <w:r>
        <w:rPr>
          <w:rFonts w:hint="eastAsia" w:eastAsia="仿宋_GB2312"/>
          <w:kern w:val="0"/>
          <w:sz w:val="32"/>
          <w:szCs w:val="32"/>
        </w:rPr>
        <w:t>明确建设期内分年度资金使用计划。</w:t>
      </w:r>
    </w:p>
    <w:p w14:paraId="2A29C48B">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（二）盈利能力分析</w:t>
      </w:r>
    </w:p>
    <w:p w14:paraId="4E6AA6EA">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根据工程研究中心性质</w:t>
      </w:r>
      <w:r>
        <w:rPr>
          <w:rFonts w:eastAsia="仿宋_GB2312"/>
          <w:kern w:val="0"/>
          <w:sz w:val="32"/>
          <w:szCs w:val="32"/>
          <w:lang w:val="en"/>
        </w:rPr>
        <w:t>，</w:t>
      </w:r>
      <w:r>
        <w:rPr>
          <w:rFonts w:hint="eastAsia" w:eastAsia="仿宋_GB2312"/>
          <w:kern w:val="0"/>
          <w:sz w:val="32"/>
          <w:szCs w:val="32"/>
        </w:rPr>
        <w:t>选择适合的评价方法</w:t>
      </w:r>
      <w:r>
        <w:rPr>
          <w:rFonts w:eastAsia="仿宋_GB2312"/>
          <w:kern w:val="0"/>
          <w:sz w:val="32"/>
          <w:szCs w:val="32"/>
          <w:lang w:val="en"/>
        </w:rPr>
        <w:t>，</w:t>
      </w:r>
      <w:r>
        <w:rPr>
          <w:rFonts w:hint="eastAsia" w:eastAsia="仿宋_GB2312"/>
          <w:kern w:val="0"/>
          <w:sz w:val="32"/>
          <w:szCs w:val="32"/>
        </w:rPr>
        <w:t>评价其财务盈利能力。</w:t>
      </w:r>
    </w:p>
    <w:p w14:paraId="40796436">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（三）融资方案</w:t>
      </w:r>
    </w:p>
    <w:p w14:paraId="283AD704">
      <w:pPr>
        <w:keepNext w:val="0"/>
        <w:keepLines w:val="0"/>
        <w:pageBreakBefore w:val="0"/>
        <w:widowControl/>
        <w:kinsoku/>
        <w:wordWrap/>
        <w:overflowPunct/>
        <w:topLinePunct w:val="0"/>
        <w:bidi w:val="0"/>
        <w:spacing w:line="560" w:lineRule="exact"/>
        <w:jc w:val="both"/>
        <w:textAlignment w:val="auto"/>
        <w:rPr>
          <w:rFonts w:hint="eastAsia" w:eastAsia="仿宋_GB2312"/>
          <w:kern w:val="0"/>
          <w:sz w:val="32"/>
          <w:szCs w:val="32"/>
        </w:rPr>
      </w:pPr>
      <w:r>
        <w:rPr>
          <w:rFonts w:hint="eastAsia" w:eastAsia="仿宋_GB2312"/>
          <w:kern w:val="0"/>
          <w:sz w:val="32"/>
          <w:szCs w:val="32"/>
        </w:rPr>
        <w:t xml:space="preserve">    结合依托单位出资能力</w:t>
      </w:r>
      <w:r>
        <w:rPr>
          <w:rFonts w:eastAsia="仿宋_GB2312"/>
          <w:kern w:val="0"/>
          <w:sz w:val="32"/>
          <w:szCs w:val="32"/>
          <w:lang w:val="en"/>
        </w:rPr>
        <w:t>，</w:t>
      </w:r>
      <w:r>
        <w:rPr>
          <w:rFonts w:hint="eastAsia" w:eastAsia="仿宋_GB2312"/>
          <w:kern w:val="0"/>
          <w:sz w:val="32"/>
          <w:szCs w:val="32"/>
        </w:rPr>
        <w:t>分析工程研究中心资本金和债务资金来源及结构、融资成本以及资金到位情况</w:t>
      </w:r>
      <w:r>
        <w:rPr>
          <w:rFonts w:eastAsia="仿宋_GB2312"/>
          <w:kern w:val="0"/>
          <w:sz w:val="32"/>
          <w:szCs w:val="32"/>
          <w:lang w:val="en"/>
        </w:rPr>
        <w:t>，</w:t>
      </w:r>
      <w:r>
        <w:rPr>
          <w:rFonts w:hint="eastAsia" w:eastAsia="仿宋_GB2312"/>
          <w:kern w:val="0"/>
          <w:sz w:val="32"/>
          <w:szCs w:val="32"/>
        </w:rPr>
        <w:t>评价工程研究中心的可融资性。并</w:t>
      </w:r>
      <w:r>
        <w:rPr>
          <w:rFonts w:hint="eastAsia" w:eastAsia="仿宋_GB2312"/>
          <w:color w:val="000000"/>
          <w:kern w:val="0"/>
          <w:sz w:val="32"/>
          <w:szCs w:val="32"/>
          <w:lang w:bidi="ar"/>
        </w:rPr>
        <w:t>根据《天津市推动制造业高质量发展</w:t>
      </w:r>
      <w:r>
        <w:rPr>
          <w:rFonts w:hint="eastAsia" w:eastAsia="仿宋_GB2312"/>
          <w:kern w:val="0"/>
          <w:sz w:val="32"/>
          <w:szCs w:val="32"/>
          <w:lang w:bidi="ar"/>
        </w:rPr>
        <w:t>若干</w:t>
      </w:r>
      <w:r>
        <w:rPr>
          <w:rFonts w:hint="eastAsia" w:eastAsia="仿宋_GB2312"/>
          <w:color w:val="000000"/>
          <w:kern w:val="0"/>
          <w:sz w:val="32"/>
          <w:szCs w:val="32"/>
          <w:lang w:bidi="ar"/>
        </w:rPr>
        <w:t>政策</w:t>
      </w:r>
      <w:r>
        <w:rPr>
          <w:rFonts w:hint="eastAsia" w:eastAsia="仿宋_GB2312"/>
          <w:kern w:val="0"/>
          <w:sz w:val="32"/>
          <w:szCs w:val="32"/>
          <w:lang w:bidi="ar"/>
        </w:rPr>
        <w:t>措施</w:t>
      </w:r>
      <w:r>
        <w:rPr>
          <w:rFonts w:hint="eastAsia" w:eastAsia="仿宋_GB2312"/>
          <w:color w:val="000000"/>
          <w:kern w:val="0"/>
          <w:sz w:val="32"/>
          <w:szCs w:val="32"/>
          <w:lang w:bidi="ar"/>
        </w:rPr>
        <w:t>》要求研究提出拟申报投资补助额度。</w:t>
      </w:r>
    </w:p>
    <w:p w14:paraId="5D369794">
      <w:pPr>
        <w:keepNext w:val="0"/>
        <w:keepLines w:val="0"/>
        <w:pageBreakBefore w:val="0"/>
        <w:widowControl/>
        <w:kinsoku/>
        <w:wordWrap/>
        <w:overflowPunct/>
        <w:topLinePunct w:val="0"/>
        <w:bidi w:val="0"/>
        <w:spacing w:line="560" w:lineRule="exact"/>
        <w:jc w:val="both"/>
        <w:textAlignment w:val="auto"/>
        <w:rPr>
          <w:rFonts w:hint="eastAsia" w:ascii="楷体_GB2312" w:eastAsia="楷体_GB2312"/>
          <w:sz w:val="32"/>
          <w:szCs w:val="32"/>
          <w:lang w:val="en"/>
        </w:rPr>
      </w:pPr>
      <w:r>
        <w:rPr>
          <w:rFonts w:hint="eastAsia" w:ascii="楷体_GB2312" w:eastAsia="楷体_GB2312"/>
          <w:sz w:val="32"/>
          <w:szCs w:val="32"/>
        </w:rPr>
        <w:t xml:space="preserve">    </w:t>
      </w:r>
      <w:r>
        <w:rPr>
          <w:rFonts w:hint="eastAsia" w:ascii="楷体_GB2312" w:eastAsia="楷体_GB2312"/>
          <w:sz w:val="32"/>
          <w:szCs w:val="32"/>
          <w:lang w:val="en"/>
        </w:rPr>
        <w:t>（四）</w:t>
      </w:r>
      <w:r>
        <w:rPr>
          <w:rFonts w:hint="eastAsia" w:ascii="楷体_GB2312" w:eastAsia="楷体_GB2312"/>
          <w:color w:val="000000"/>
          <w:sz w:val="32"/>
          <w:szCs w:val="32"/>
          <w:lang w:val="en" w:bidi="ar"/>
        </w:rPr>
        <w:t>财务可持续性</w:t>
      </w:r>
      <w:r>
        <w:rPr>
          <w:rFonts w:hint="eastAsia" w:ascii="楷体_GB2312" w:eastAsia="楷体_GB2312"/>
          <w:sz w:val="32"/>
          <w:szCs w:val="32"/>
          <w:lang w:val="en"/>
        </w:rPr>
        <w:t>分析</w:t>
      </w:r>
    </w:p>
    <w:p w14:paraId="58BAC921">
      <w:pPr>
        <w:keepNext w:val="0"/>
        <w:keepLines w:val="0"/>
        <w:pageBreakBefore w:val="0"/>
        <w:widowControl/>
        <w:kinsoku/>
        <w:wordWrap/>
        <w:overflowPunct/>
        <w:topLinePunct w:val="0"/>
        <w:bidi w:val="0"/>
        <w:spacing w:line="560" w:lineRule="exact"/>
        <w:jc w:val="both"/>
        <w:textAlignment w:val="auto"/>
        <w:rPr>
          <w:rFonts w:hint="eastAsia" w:eastAsia="仿宋_GB2312"/>
          <w:kern w:val="0"/>
          <w:sz w:val="32"/>
          <w:szCs w:val="32"/>
        </w:rPr>
      </w:pPr>
      <w:r>
        <w:rPr>
          <w:rFonts w:hint="eastAsia" w:eastAsia="仿宋_GB2312"/>
          <w:kern w:val="0"/>
          <w:sz w:val="32"/>
          <w:szCs w:val="32"/>
        </w:rPr>
        <w:t xml:space="preserve">    </w:t>
      </w:r>
      <w:r>
        <w:rPr>
          <w:rFonts w:hint="eastAsia" w:eastAsia="仿宋_GB2312"/>
          <w:color w:val="000000"/>
          <w:kern w:val="0"/>
          <w:sz w:val="32"/>
          <w:szCs w:val="32"/>
          <w:lang w:bidi="ar"/>
        </w:rPr>
        <w:t>对依托单位的现金流、利润、营业收入、资产、负债等主要指标分析判断工程研究中心建设及运营是否有足够的净现金流量，确保维持正常运营及保障资金链安全。</w:t>
      </w:r>
      <w:r>
        <w:rPr>
          <w:rFonts w:hint="eastAsia" w:eastAsia="仿宋_GB2312"/>
          <w:kern w:val="0"/>
          <w:sz w:val="32"/>
          <w:szCs w:val="32"/>
        </w:rPr>
        <w:t>对工程研究中心偿还债务本金及支付利息的能力进行分析论述。</w:t>
      </w:r>
    </w:p>
    <w:p w14:paraId="1C3E42A9">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黑体" w:eastAsia="黑体"/>
          <w:sz w:val="32"/>
          <w:szCs w:val="32"/>
        </w:rPr>
      </w:pPr>
      <w:r>
        <w:rPr>
          <w:rFonts w:hint="eastAsia" w:ascii="黑体" w:eastAsia="黑体"/>
          <w:sz w:val="32"/>
          <w:szCs w:val="32"/>
        </w:rPr>
        <w:t xml:space="preserve"> 七、工程研究中心影响效果分析</w:t>
      </w:r>
    </w:p>
    <w:p w14:paraId="12274A41">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（一）经济影响分析</w:t>
      </w:r>
    </w:p>
    <w:p w14:paraId="67A36102">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论证工程研究中心费用效益或效果</w:t>
      </w:r>
      <w:r>
        <w:rPr>
          <w:rFonts w:eastAsia="仿宋_GB2312"/>
          <w:kern w:val="0"/>
          <w:sz w:val="32"/>
          <w:szCs w:val="32"/>
          <w:lang w:val="en"/>
        </w:rPr>
        <w:t>，</w:t>
      </w:r>
      <w:r>
        <w:rPr>
          <w:rFonts w:hint="eastAsia" w:eastAsia="仿宋_GB2312"/>
          <w:kern w:val="0"/>
          <w:sz w:val="32"/>
          <w:szCs w:val="32"/>
        </w:rPr>
        <w:t>可能对产业提升、区域经济发展等产生的影响</w:t>
      </w:r>
      <w:r>
        <w:rPr>
          <w:rFonts w:eastAsia="仿宋_GB2312"/>
          <w:kern w:val="0"/>
          <w:sz w:val="32"/>
          <w:szCs w:val="32"/>
          <w:lang w:val="en"/>
        </w:rPr>
        <w:t>，</w:t>
      </w:r>
      <w:r>
        <w:rPr>
          <w:rFonts w:hint="eastAsia" w:eastAsia="仿宋_GB2312"/>
          <w:kern w:val="0"/>
          <w:sz w:val="32"/>
          <w:szCs w:val="32"/>
        </w:rPr>
        <w:t>评价拟建工程研究中心的经济合理性。</w:t>
      </w:r>
    </w:p>
    <w:p w14:paraId="7F8012F3">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（二）社会影响分析</w:t>
      </w:r>
    </w:p>
    <w:p w14:paraId="5CFE798D">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评价工程研究中心在带动当地就业、促进企业员工发展、社区发展和社会发展等方面的社会责任。</w:t>
      </w:r>
    </w:p>
    <w:p w14:paraId="7A0BC87C">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（三）生态环境影响分析</w:t>
      </w:r>
    </w:p>
    <w:p w14:paraId="326B795C">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简述工程研究中心所在地的生态环境现状</w:t>
      </w:r>
      <w:r>
        <w:rPr>
          <w:rFonts w:eastAsia="仿宋_GB2312"/>
          <w:kern w:val="0"/>
          <w:sz w:val="32"/>
          <w:szCs w:val="32"/>
          <w:lang w:val="en"/>
        </w:rPr>
        <w:t>，</w:t>
      </w:r>
      <w:r>
        <w:rPr>
          <w:rFonts w:hint="eastAsia" w:eastAsia="仿宋_GB2312"/>
          <w:kern w:val="0"/>
          <w:sz w:val="32"/>
          <w:szCs w:val="32"/>
        </w:rPr>
        <w:t>评价工程研究中心对生态环境的影响</w:t>
      </w:r>
      <w:r>
        <w:rPr>
          <w:rFonts w:eastAsia="仿宋_GB2312"/>
          <w:kern w:val="0"/>
          <w:sz w:val="32"/>
          <w:szCs w:val="32"/>
          <w:lang w:val="en"/>
        </w:rPr>
        <w:t>，</w:t>
      </w:r>
      <w:r>
        <w:rPr>
          <w:rFonts w:hint="eastAsia" w:eastAsia="仿宋_GB2312"/>
          <w:kern w:val="0"/>
          <w:sz w:val="32"/>
          <w:szCs w:val="32"/>
        </w:rPr>
        <w:t>提出生态环境影响减缓、生态修复和补偿等措施</w:t>
      </w:r>
      <w:r>
        <w:rPr>
          <w:rFonts w:eastAsia="仿宋_GB2312"/>
          <w:kern w:val="0"/>
          <w:sz w:val="32"/>
          <w:szCs w:val="32"/>
          <w:lang w:val="en"/>
        </w:rPr>
        <w:t>，</w:t>
      </w:r>
      <w:r>
        <w:rPr>
          <w:rFonts w:hint="eastAsia" w:eastAsia="仿宋_GB2312"/>
          <w:kern w:val="0"/>
          <w:sz w:val="32"/>
          <w:szCs w:val="32"/>
        </w:rPr>
        <w:t>以及污染物减排措施</w:t>
      </w:r>
      <w:r>
        <w:rPr>
          <w:rFonts w:eastAsia="仿宋_GB2312"/>
          <w:kern w:val="0"/>
          <w:sz w:val="32"/>
          <w:szCs w:val="32"/>
          <w:lang w:val="en"/>
        </w:rPr>
        <w:t>，</w:t>
      </w:r>
      <w:r>
        <w:rPr>
          <w:rFonts w:hint="eastAsia" w:eastAsia="仿宋_GB2312"/>
          <w:kern w:val="0"/>
          <w:sz w:val="32"/>
          <w:szCs w:val="32"/>
        </w:rPr>
        <w:t>评价拟建工程研究中心能否满足有关生态环境保护政策要求。</w:t>
      </w:r>
    </w:p>
    <w:p w14:paraId="54D0B96B">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（四）资源和能源利用效果分析</w:t>
      </w:r>
    </w:p>
    <w:p w14:paraId="25FB2DCF">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对于占用重要资源的工程研究中心</w:t>
      </w:r>
      <w:r>
        <w:rPr>
          <w:rFonts w:eastAsia="仿宋_GB2312"/>
          <w:kern w:val="0"/>
          <w:sz w:val="32"/>
          <w:szCs w:val="32"/>
          <w:lang w:val="en"/>
        </w:rPr>
        <w:t>，</w:t>
      </w:r>
      <w:r>
        <w:rPr>
          <w:rFonts w:hint="eastAsia" w:eastAsia="仿宋_GB2312"/>
          <w:kern w:val="0"/>
          <w:sz w:val="32"/>
          <w:szCs w:val="32"/>
        </w:rPr>
        <w:t>简述其消耗资源情况及非常规水源和污水资源化利用情况</w:t>
      </w:r>
      <w:r>
        <w:rPr>
          <w:rFonts w:eastAsia="仿宋_GB2312"/>
          <w:kern w:val="0"/>
          <w:sz w:val="32"/>
          <w:szCs w:val="32"/>
          <w:lang w:val="en"/>
        </w:rPr>
        <w:t>，</w:t>
      </w:r>
      <w:r>
        <w:rPr>
          <w:rFonts w:hint="eastAsia" w:eastAsia="仿宋_GB2312"/>
          <w:kern w:val="0"/>
          <w:sz w:val="32"/>
          <w:szCs w:val="32"/>
        </w:rPr>
        <w:t>提出资源综合利用方案和资源节约措施，</w:t>
      </w:r>
      <w:r>
        <w:rPr>
          <w:rFonts w:hint="eastAsia" w:eastAsia="仿宋_GB2312"/>
          <w:kern w:val="0"/>
          <w:sz w:val="32"/>
          <w:szCs w:val="32"/>
          <w:lang w:val="en"/>
        </w:rPr>
        <w:t>并</w:t>
      </w:r>
      <w:r>
        <w:rPr>
          <w:rFonts w:hint="eastAsia" w:eastAsia="仿宋_GB2312"/>
          <w:kern w:val="0"/>
          <w:sz w:val="32"/>
          <w:szCs w:val="32"/>
        </w:rPr>
        <w:t>计算资源消耗总量及强度</w:t>
      </w:r>
      <w:r>
        <w:rPr>
          <w:rFonts w:eastAsia="仿宋_GB2312"/>
          <w:kern w:val="0"/>
          <w:sz w:val="32"/>
          <w:szCs w:val="32"/>
          <w:lang w:val="en"/>
        </w:rPr>
        <w:t>，</w:t>
      </w:r>
      <w:r>
        <w:rPr>
          <w:rFonts w:hint="eastAsia" w:eastAsia="仿宋_GB2312"/>
          <w:kern w:val="0"/>
          <w:sz w:val="32"/>
          <w:szCs w:val="32"/>
        </w:rPr>
        <w:t>评价工程研究中心能效水平以及对其所在地区能耗调控的影响。</w:t>
      </w:r>
    </w:p>
    <w:p w14:paraId="727DB586">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（五）碳达峰碳中和分析</w:t>
      </w:r>
    </w:p>
    <w:p w14:paraId="2912973C">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对于高耗能、高排放工程研究中心</w:t>
      </w:r>
      <w:r>
        <w:rPr>
          <w:rFonts w:eastAsia="仿宋_GB2312"/>
          <w:kern w:val="0"/>
          <w:sz w:val="32"/>
          <w:szCs w:val="32"/>
          <w:lang w:val="en"/>
        </w:rPr>
        <w:t>，</w:t>
      </w:r>
      <w:r>
        <w:rPr>
          <w:rFonts w:hint="eastAsia" w:eastAsia="仿宋_GB2312"/>
          <w:kern w:val="0"/>
          <w:sz w:val="32"/>
          <w:szCs w:val="32"/>
        </w:rPr>
        <w:t>测算其年度碳排放总量、主要产品碳排放强度，提出碳排放控制方案</w:t>
      </w:r>
      <w:r>
        <w:rPr>
          <w:rFonts w:eastAsia="仿宋_GB2312"/>
          <w:kern w:val="0"/>
          <w:sz w:val="32"/>
          <w:szCs w:val="32"/>
          <w:lang w:val="en"/>
        </w:rPr>
        <w:t>，</w:t>
      </w:r>
      <w:r>
        <w:rPr>
          <w:rFonts w:hint="eastAsia" w:eastAsia="仿宋_GB2312"/>
          <w:kern w:val="0"/>
          <w:sz w:val="32"/>
          <w:szCs w:val="32"/>
        </w:rPr>
        <w:t>分析其对所在地区碳达峰碳中和目标实现的影响。</w:t>
      </w:r>
    </w:p>
    <w:p w14:paraId="4EC2348F">
      <w:pPr>
        <w:keepNext w:val="0"/>
        <w:keepLines w:val="0"/>
        <w:pageBreakBefore w:val="0"/>
        <w:kinsoku/>
        <w:wordWrap/>
        <w:overflowPunct/>
        <w:topLinePunct w:val="0"/>
        <w:bidi w:val="0"/>
        <w:spacing w:line="560" w:lineRule="exact"/>
        <w:jc w:val="both"/>
        <w:textAlignment w:val="auto"/>
        <w:rPr>
          <w:rFonts w:hint="eastAsia" w:ascii="黑体" w:eastAsia="黑体"/>
          <w:sz w:val="32"/>
          <w:szCs w:val="32"/>
        </w:rPr>
      </w:pPr>
      <w:r>
        <w:rPr>
          <w:rFonts w:hint="eastAsia" w:ascii="黑体" w:eastAsia="黑体"/>
          <w:sz w:val="32"/>
          <w:szCs w:val="32"/>
        </w:rPr>
        <w:t xml:space="preserve">    八、工程研究中心风险管控方案</w:t>
      </w:r>
    </w:p>
    <w:p w14:paraId="4CEBE361">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（一）风险识别与评价</w:t>
      </w:r>
    </w:p>
    <w:p w14:paraId="7B9DE9F6">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识别工程研究中心市场需求、产业链供应链、关键技术、工程建设、运行管理、投融资、财务效益、生态环境、社会影响、网络与数据安全等方面的风险</w:t>
      </w:r>
      <w:r>
        <w:rPr>
          <w:rFonts w:eastAsia="仿宋_GB2312"/>
          <w:kern w:val="0"/>
          <w:sz w:val="32"/>
          <w:szCs w:val="32"/>
          <w:lang w:val="en"/>
        </w:rPr>
        <w:t>，</w:t>
      </w:r>
      <w:r>
        <w:rPr>
          <w:rFonts w:hint="eastAsia" w:eastAsia="仿宋_GB2312"/>
          <w:kern w:val="0"/>
          <w:sz w:val="32"/>
          <w:szCs w:val="32"/>
        </w:rPr>
        <w:t>分析各风险发生的可能性、损失程度</w:t>
      </w:r>
      <w:r>
        <w:rPr>
          <w:rFonts w:eastAsia="仿宋_GB2312"/>
          <w:kern w:val="0"/>
          <w:sz w:val="32"/>
          <w:szCs w:val="32"/>
          <w:lang w:val="en"/>
        </w:rPr>
        <w:t>，</w:t>
      </w:r>
      <w:r>
        <w:rPr>
          <w:rFonts w:hint="eastAsia" w:eastAsia="仿宋_GB2312"/>
          <w:kern w:val="0"/>
          <w:sz w:val="32"/>
          <w:szCs w:val="32"/>
        </w:rPr>
        <w:t>以及风险承担主体的韧性或脆弱性</w:t>
      </w:r>
      <w:r>
        <w:rPr>
          <w:rFonts w:eastAsia="仿宋_GB2312"/>
          <w:kern w:val="0"/>
          <w:sz w:val="32"/>
          <w:szCs w:val="32"/>
          <w:lang w:val="en"/>
        </w:rPr>
        <w:t>，</w:t>
      </w:r>
      <w:r>
        <w:rPr>
          <w:rFonts w:hint="eastAsia" w:eastAsia="仿宋_GB2312"/>
          <w:kern w:val="0"/>
          <w:sz w:val="32"/>
          <w:szCs w:val="32"/>
        </w:rPr>
        <w:t>判断各风险后果的严重程度</w:t>
      </w:r>
      <w:r>
        <w:rPr>
          <w:rFonts w:eastAsia="仿宋_GB2312"/>
          <w:kern w:val="0"/>
          <w:sz w:val="32"/>
          <w:szCs w:val="32"/>
          <w:lang w:val="en"/>
        </w:rPr>
        <w:t>，</w:t>
      </w:r>
      <w:r>
        <w:rPr>
          <w:rFonts w:hint="eastAsia" w:eastAsia="仿宋_GB2312"/>
          <w:kern w:val="0"/>
          <w:sz w:val="32"/>
          <w:szCs w:val="32"/>
        </w:rPr>
        <w:t>研究确定其面临的主要风险。</w:t>
      </w:r>
    </w:p>
    <w:p w14:paraId="4883471D">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（二）风险管控方案</w:t>
      </w:r>
    </w:p>
    <w:p w14:paraId="14B0A63E">
      <w:pPr>
        <w:keepNext w:val="0"/>
        <w:keepLines w:val="0"/>
        <w:pageBreakBefore w:val="0"/>
        <w:widowControl/>
        <w:kinsoku/>
        <w:wordWrap/>
        <w:overflowPunct/>
        <w:topLinePunct w:val="0"/>
        <w:bidi w:val="0"/>
        <w:spacing w:line="560" w:lineRule="exact"/>
        <w:jc w:val="both"/>
        <w:textAlignment w:val="auto"/>
        <w:rPr>
          <w:rFonts w:hint="eastAsia" w:eastAsia="仿宋_GB2312"/>
          <w:kern w:val="0"/>
          <w:sz w:val="32"/>
          <w:szCs w:val="32"/>
        </w:rPr>
      </w:pPr>
      <w:r>
        <w:rPr>
          <w:rFonts w:hint="eastAsia" w:eastAsia="仿宋_GB2312"/>
          <w:kern w:val="0"/>
          <w:sz w:val="32"/>
          <w:szCs w:val="32"/>
        </w:rPr>
        <w:t xml:space="preserve">    结合工程研究中心特点和风险评价</w:t>
      </w:r>
      <w:r>
        <w:rPr>
          <w:rFonts w:eastAsia="仿宋_GB2312"/>
          <w:kern w:val="0"/>
          <w:sz w:val="32"/>
          <w:szCs w:val="32"/>
          <w:lang w:val="en"/>
        </w:rPr>
        <w:t>，</w:t>
      </w:r>
      <w:r>
        <w:rPr>
          <w:rFonts w:hint="eastAsia" w:eastAsia="仿宋_GB2312"/>
          <w:kern w:val="0"/>
          <w:sz w:val="32"/>
          <w:szCs w:val="32"/>
        </w:rPr>
        <w:t>有针对性地提出其主要风险的防范和化解措施，</w:t>
      </w:r>
      <w:r>
        <w:rPr>
          <w:rFonts w:hint="eastAsia" w:eastAsia="仿宋_GB2312"/>
          <w:color w:val="000000"/>
          <w:kern w:val="0"/>
          <w:sz w:val="32"/>
          <w:szCs w:val="32"/>
          <w:lang w:bidi="ar"/>
        </w:rPr>
        <w:t>研究制定重大风险应急预案</w:t>
      </w:r>
      <w:r>
        <w:rPr>
          <w:rFonts w:hint="eastAsia" w:eastAsia="仿宋_GB2312"/>
          <w:kern w:val="0"/>
          <w:sz w:val="32"/>
          <w:szCs w:val="32"/>
        </w:rPr>
        <w:t>。</w:t>
      </w:r>
    </w:p>
    <w:p w14:paraId="28DB56CE">
      <w:pPr>
        <w:keepNext w:val="0"/>
        <w:keepLines w:val="0"/>
        <w:pageBreakBefore w:val="0"/>
        <w:kinsoku/>
        <w:wordWrap/>
        <w:overflowPunct/>
        <w:topLinePunct w:val="0"/>
        <w:bidi w:val="0"/>
        <w:spacing w:line="560" w:lineRule="exact"/>
        <w:jc w:val="both"/>
        <w:textAlignment w:val="auto"/>
        <w:rPr>
          <w:rFonts w:hint="eastAsia" w:ascii="黑体" w:eastAsia="黑体"/>
          <w:sz w:val="32"/>
          <w:szCs w:val="32"/>
        </w:rPr>
      </w:pPr>
      <w:r>
        <w:rPr>
          <w:rFonts w:hint="eastAsia" w:ascii="黑体" w:eastAsia="黑体"/>
          <w:sz w:val="32"/>
          <w:szCs w:val="32"/>
        </w:rPr>
        <w:t xml:space="preserve">    九、研究结论及建议</w:t>
      </w:r>
    </w:p>
    <w:p w14:paraId="26E144DE">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（一）主要研究结论</w:t>
      </w:r>
    </w:p>
    <w:p w14:paraId="542D6BB4">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归纳总结工程研究中心市场需求、建设内容和规模、运营方案、投融资和财务效益</w:t>
      </w:r>
      <w:r>
        <w:rPr>
          <w:rFonts w:eastAsia="仿宋_GB2312"/>
          <w:kern w:val="0"/>
          <w:sz w:val="32"/>
          <w:szCs w:val="32"/>
          <w:lang w:val="en"/>
        </w:rPr>
        <w:t>，</w:t>
      </w:r>
      <w:r>
        <w:rPr>
          <w:rFonts w:hint="eastAsia" w:eastAsia="仿宋_GB2312"/>
          <w:kern w:val="0"/>
          <w:sz w:val="32"/>
          <w:szCs w:val="32"/>
        </w:rPr>
        <w:t>并评价其各方面的效果和风险</w:t>
      </w:r>
      <w:r>
        <w:rPr>
          <w:rFonts w:eastAsia="仿宋_GB2312"/>
          <w:kern w:val="0"/>
          <w:sz w:val="32"/>
          <w:szCs w:val="32"/>
          <w:lang w:val="en"/>
        </w:rPr>
        <w:t>，</w:t>
      </w:r>
      <w:r>
        <w:rPr>
          <w:rFonts w:hint="eastAsia" w:eastAsia="仿宋_GB2312"/>
          <w:kern w:val="0"/>
          <w:sz w:val="32"/>
          <w:szCs w:val="32"/>
        </w:rPr>
        <w:t>提出工程研究中心是否可行的结论。</w:t>
      </w:r>
    </w:p>
    <w:p w14:paraId="583A2F79">
      <w:pPr>
        <w:keepNext w:val="0"/>
        <w:keepLines w:val="0"/>
        <w:pageBreakBefore w:val="0"/>
        <w:widowControl/>
        <w:kinsoku/>
        <w:wordWrap/>
        <w:overflowPunct/>
        <w:topLinePunct w:val="0"/>
        <w:bidi w:val="0"/>
        <w:spacing w:line="560" w:lineRule="exact"/>
        <w:ind w:firstLine="445" w:firstLineChars="143"/>
        <w:jc w:val="both"/>
        <w:textAlignment w:val="auto"/>
        <w:rPr>
          <w:rFonts w:hint="eastAsia" w:ascii="楷体_GB2312" w:eastAsia="楷体_GB2312"/>
          <w:sz w:val="32"/>
          <w:szCs w:val="32"/>
          <w:lang w:val="en"/>
        </w:rPr>
      </w:pPr>
      <w:r>
        <w:rPr>
          <w:rFonts w:hint="eastAsia" w:ascii="楷体_GB2312" w:eastAsia="楷体_GB2312"/>
          <w:sz w:val="32"/>
          <w:szCs w:val="32"/>
          <w:lang w:val="en"/>
        </w:rPr>
        <w:t>（二）问题与建议</w:t>
      </w:r>
    </w:p>
    <w:p w14:paraId="172C68ED">
      <w:pPr>
        <w:keepNext w:val="0"/>
        <w:keepLines w:val="0"/>
        <w:pageBreakBefore w:val="0"/>
        <w:widowControl/>
        <w:kinsoku/>
        <w:wordWrap/>
        <w:overflowPunct/>
        <w:topLinePunct w:val="0"/>
        <w:bidi w:val="0"/>
        <w:spacing w:line="560" w:lineRule="exact"/>
        <w:ind w:firstLine="445" w:firstLineChars="143"/>
        <w:jc w:val="both"/>
        <w:textAlignment w:val="auto"/>
        <w:rPr>
          <w:rFonts w:hint="eastAsia" w:eastAsia="仿宋_GB2312"/>
          <w:kern w:val="0"/>
          <w:sz w:val="32"/>
          <w:szCs w:val="32"/>
        </w:rPr>
      </w:pPr>
      <w:r>
        <w:rPr>
          <w:rFonts w:hint="eastAsia" w:eastAsia="仿宋_GB2312"/>
          <w:kern w:val="0"/>
          <w:sz w:val="32"/>
          <w:szCs w:val="32"/>
        </w:rPr>
        <w:t xml:space="preserve"> 针对工程研究中心需要重点关注和进一步研究解决的问题</w:t>
      </w:r>
      <w:r>
        <w:rPr>
          <w:rFonts w:eastAsia="仿宋_GB2312"/>
          <w:kern w:val="0"/>
          <w:sz w:val="32"/>
          <w:szCs w:val="32"/>
          <w:lang w:val="en"/>
        </w:rPr>
        <w:t>，</w:t>
      </w:r>
      <w:r>
        <w:rPr>
          <w:rFonts w:hint="eastAsia" w:eastAsia="仿宋_GB2312"/>
          <w:kern w:val="0"/>
          <w:sz w:val="32"/>
          <w:szCs w:val="32"/>
        </w:rPr>
        <w:t>提出相关建议。</w:t>
      </w:r>
    </w:p>
    <w:p w14:paraId="5832E02A">
      <w:pPr>
        <w:pStyle w:val="7"/>
        <w:keepNext w:val="0"/>
        <w:keepLines w:val="0"/>
        <w:pageBreakBefore w:val="0"/>
        <w:kinsoku/>
        <w:wordWrap/>
        <w:overflowPunct/>
        <w:topLinePunct w:val="0"/>
        <w:bidi w:val="0"/>
        <w:spacing w:before="0" w:line="560" w:lineRule="exact"/>
        <w:jc w:val="both"/>
        <w:textAlignment w:val="auto"/>
        <w:rPr>
          <w:rFonts w:hint="eastAsia" w:ascii="Times New Roman" w:hAnsi="Times New Roman"/>
          <w:sz w:val="44"/>
          <w:szCs w:val="44"/>
        </w:rPr>
      </w:pPr>
      <w:r>
        <w:rPr>
          <w:rFonts w:hint="eastAsia" w:ascii="黑体" w:hAnsi="Times New Roman" w:eastAsia="黑体"/>
          <w:sz w:val="32"/>
          <w:szCs w:val="32"/>
        </w:rPr>
        <w:t xml:space="preserve">    十、附表、附图和附件</w:t>
      </w:r>
    </w:p>
    <w:sectPr>
      <w:footerReference r:id="rId3" w:type="default"/>
      <w:pgSz w:w="11906" w:h="16838"/>
      <w:pgMar w:top="2098" w:right="1474" w:bottom="1985" w:left="1587" w:header="851" w:footer="1077" w:gutter="0"/>
      <w:pgNumType w:fmt="numberInDash"/>
      <w:cols w:space="720" w:num="1"/>
      <w:docGrid w:type="linesAndChars" w:linePitch="579"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AEA5FED-21E5-4399-8FD3-461119D962C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49DDFED2-E49B-424B-9843-6D5271C3F90E}"/>
  </w:font>
  <w:font w:name="华文中宋">
    <w:panose1 w:val="02010600040101010101"/>
    <w:charset w:val="86"/>
    <w:family w:val="auto"/>
    <w:pitch w:val="default"/>
    <w:sig w:usb0="00000287" w:usb1="080F0000" w:usb2="00000000" w:usb3="00000000" w:csb0="0004009F" w:csb1="DFD70000"/>
  </w:font>
  <w:font w:name="方正黑体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script"/>
    <w:pitch w:val="default"/>
    <w:sig w:usb0="00000000" w:usb1="00000000" w:usb2="00000000" w:usb3="00000000" w:csb0="00040000" w:csb1="00000000"/>
  </w:font>
  <w:font w:name="Noto Sans CJK JP Regular">
    <w:altName w:val="DejaVu Math TeX Gyre"/>
    <w:panose1 w:val="00000000000000000000"/>
    <w:charset w:val="00"/>
    <w:family w:val="swiss"/>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embedRegular r:id="rId3" w:fontKey="{43D3FA1D-AF2E-4C0C-8338-9E9FD0E6A5B2}"/>
  </w:font>
  <w:font w:name="FZFangSong-Z02">
    <w:altName w:val="宋体"/>
    <w:panose1 w:val="02000000000000000000"/>
    <w:charset w:val="86"/>
    <w:family w:val="auto"/>
    <w:pitch w:val="default"/>
    <w:sig w:usb0="00000000" w:usb1="00000000" w:usb2="00000000" w:usb3="00000000" w:csb0="00040000" w:csb1="00000000"/>
    <w:embedRegular r:id="rId4" w:fontKey="{691A853D-15C3-4F3B-894C-23A23885D863}"/>
  </w:font>
  <w:font w:name="KSOFEC83043A">
    <w:panose1 w:val="020B0503020204020204"/>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CF994">
    <w:pPr>
      <w:pStyle w:val="10"/>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ge">
                <wp:posOffset>9613265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9050">
                        <a:noFill/>
                      </a:ln>
                    </wps:spPr>
                    <wps:txbx>
                      <w:txbxContent>
                        <w:p w14:paraId="6E10FB0B">
                          <w:pPr>
                            <w:pStyle w:val="10"/>
                            <w:spacing w:line="280" w:lineRule="exact"/>
                            <w:jc w:val="center"/>
                            <w:rPr>
                              <w:rStyle w:val="18"/>
                              <w:rFonts w:hint="eastAsia" w:ascii="宋体" w:hAnsi="宋体"/>
                              <w:sz w:val="28"/>
                              <w:szCs w:val="28"/>
                            </w:rPr>
                          </w:pPr>
                          <w:r>
                            <w:rPr>
                              <w:rFonts w:hint="eastAsia" w:ascii="宋体" w:hAnsi="宋体" w:eastAsia="宋体" w:cs="宋体"/>
                              <w:sz w:val="28"/>
                              <w:szCs w:val="28"/>
                            </w:rPr>
                            <w:fldChar w:fldCharType="begin"/>
                          </w:r>
                          <w:r>
                            <w:rPr>
                              <w:rStyle w:val="18"/>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18"/>
                              <w:rFonts w:hint="eastAsia" w:ascii="宋体" w:hAnsi="宋体" w:eastAsia="宋体" w:cs="宋体"/>
                              <w:sz w:val="28"/>
                              <w:szCs w:val="28"/>
                            </w:rPr>
                            <w:t>- 1 -</w:t>
                          </w:r>
                          <w:r>
                            <w:rPr>
                              <w:rFonts w:hint="eastAsia" w:ascii="宋体" w:hAnsi="宋体" w:eastAsia="宋体" w:cs="宋体"/>
                              <w:sz w:val="28"/>
                              <w:szCs w:val="28"/>
                            </w:rPr>
                            <w:fldChar w:fldCharType="end"/>
                          </w:r>
                        </w:p>
                        <w:p w14:paraId="7AAFA3E4"/>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756.95pt;height:144pt;width:144pt;mso-position-horizontal:outside;mso-position-horizontal-relative:margin;mso-position-vertical-relative:page;mso-wrap-style:none;z-index:251659264;mso-width-relative:page;mso-height-relative:page;" filled="f" stroked="f" coordsize="21600,21600" o:gfxdata="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GT4LT1QAAAAoB&#10;AAAPAAAAAAAAAAEAIAAAACIAAABkcnMvZG93bnJldi54bWxQSwECFAAUAAAACACHTuJAHzOGwuUB&#10;AADIAwAADgAAAAAAAAABACAAAAAkAQAAZHJzL2Uyb0RvYy54bWxQSwUGAAAAAAYABgBZAQAAewUA&#10;AAAA&#10;">
              <v:fill on="f" focussize="0,0"/>
              <v:stroke on="f" weight="1.5pt"/>
              <v:imagedata o:title=""/>
              <o:lock v:ext="edit" aspectratio="f"/>
              <v:textbox inset="0mm,0mm,0mm,0mm" style="mso-fit-shape-to-text:t;">
                <w:txbxContent>
                  <w:p w14:paraId="6E10FB0B">
                    <w:pPr>
                      <w:pStyle w:val="10"/>
                      <w:spacing w:line="280" w:lineRule="exact"/>
                      <w:jc w:val="center"/>
                      <w:rPr>
                        <w:rStyle w:val="18"/>
                        <w:rFonts w:hint="eastAsia" w:ascii="宋体" w:hAnsi="宋体"/>
                        <w:sz w:val="28"/>
                        <w:szCs w:val="28"/>
                      </w:rPr>
                    </w:pPr>
                    <w:r>
                      <w:rPr>
                        <w:rFonts w:hint="eastAsia" w:ascii="宋体" w:hAnsi="宋体" w:eastAsia="宋体" w:cs="宋体"/>
                        <w:sz w:val="28"/>
                        <w:szCs w:val="28"/>
                      </w:rPr>
                      <w:fldChar w:fldCharType="begin"/>
                    </w:r>
                    <w:r>
                      <w:rPr>
                        <w:rStyle w:val="18"/>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18"/>
                        <w:rFonts w:hint="eastAsia" w:ascii="宋体" w:hAnsi="宋体" w:eastAsia="宋体" w:cs="宋体"/>
                        <w:sz w:val="28"/>
                        <w:szCs w:val="28"/>
                      </w:rPr>
                      <w:t>- 1 -</w:t>
                    </w:r>
                    <w:r>
                      <w:rPr>
                        <w:rFonts w:hint="eastAsia" w:ascii="宋体" w:hAnsi="宋体" w:eastAsia="宋体" w:cs="宋体"/>
                        <w:sz w:val="28"/>
                        <w:szCs w:val="28"/>
                      </w:rPr>
                      <w:fldChar w:fldCharType="end"/>
                    </w:r>
                  </w:p>
                  <w:p w14:paraId="7AAFA3E4"/>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380431"/>
    <w:multiLevelType w:val="multilevel"/>
    <w:tmpl w:val="2D380431"/>
    <w:lvl w:ilvl="0" w:tentative="0">
      <w:start w:val="1"/>
      <w:numFmt w:val="decimal"/>
      <w:pStyle w:val="4"/>
      <w:lvlText w:val="%1"/>
      <w:lvlJc w:val="left"/>
      <w:pPr>
        <w:ind w:left="432" w:hanging="432"/>
      </w:pPr>
    </w:lvl>
    <w:lvl w:ilvl="1" w:tentative="0">
      <w:start w:val="1"/>
      <w:numFmt w:val="decimal"/>
      <w:pStyle w:val="5"/>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201"/>
  <w:drawingGridVerticalSpacing w:val="579"/>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5NzA4Y2YzZjI2Mzk2MWY1YjUzZWM2NzljYzYxNzIifQ=="/>
  </w:docVars>
  <w:rsids>
    <w:rsidRoot w:val="001F581A"/>
    <w:rsid w:val="00002F68"/>
    <w:rsid w:val="000050FE"/>
    <w:rsid w:val="000124A5"/>
    <w:rsid w:val="000144F3"/>
    <w:rsid w:val="00020C56"/>
    <w:rsid w:val="00023CF7"/>
    <w:rsid w:val="000300B1"/>
    <w:rsid w:val="00036B7C"/>
    <w:rsid w:val="00042724"/>
    <w:rsid w:val="00046F69"/>
    <w:rsid w:val="00047EED"/>
    <w:rsid w:val="0006656E"/>
    <w:rsid w:val="00072218"/>
    <w:rsid w:val="00083F8C"/>
    <w:rsid w:val="000A4124"/>
    <w:rsid w:val="000B6B4C"/>
    <w:rsid w:val="000C1BDF"/>
    <w:rsid w:val="000D5F7A"/>
    <w:rsid w:val="001006A8"/>
    <w:rsid w:val="00100C4E"/>
    <w:rsid w:val="00102824"/>
    <w:rsid w:val="00102A79"/>
    <w:rsid w:val="00102CBA"/>
    <w:rsid w:val="001032D1"/>
    <w:rsid w:val="00107027"/>
    <w:rsid w:val="00155AB4"/>
    <w:rsid w:val="00163844"/>
    <w:rsid w:val="00166523"/>
    <w:rsid w:val="0017190E"/>
    <w:rsid w:val="00194FE5"/>
    <w:rsid w:val="001A2DE2"/>
    <w:rsid w:val="001A6E73"/>
    <w:rsid w:val="001C4BA3"/>
    <w:rsid w:val="001D4F6B"/>
    <w:rsid w:val="001F2E84"/>
    <w:rsid w:val="001F2EED"/>
    <w:rsid w:val="001F4533"/>
    <w:rsid w:val="001F475D"/>
    <w:rsid w:val="001F581A"/>
    <w:rsid w:val="002019FE"/>
    <w:rsid w:val="00212C15"/>
    <w:rsid w:val="0021602F"/>
    <w:rsid w:val="00220D0F"/>
    <w:rsid w:val="00221052"/>
    <w:rsid w:val="00223CC7"/>
    <w:rsid w:val="00224AC8"/>
    <w:rsid w:val="00224C9C"/>
    <w:rsid w:val="002305B4"/>
    <w:rsid w:val="00236910"/>
    <w:rsid w:val="0023760D"/>
    <w:rsid w:val="00240AAF"/>
    <w:rsid w:val="00246B2A"/>
    <w:rsid w:val="00257820"/>
    <w:rsid w:val="00265288"/>
    <w:rsid w:val="00280618"/>
    <w:rsid w:val="00284EA7"/>
    <w:rsid w:val="002A0ACD"/>
    <w:rsid w:val="002A125B"/>
    <w:rsid w:val="002A56A6"/>
    <w:rsid w:val="002A7BE3"/>
    <w:rsid w:val="002C182A"/>
    <w:rsid w:val="002C284E"/>
    <w:rsid w:val="002C4980"/>
    <w:rsid w:val="002C5026"/>
    <w:rsid w:val="002E404E"/>
    <w:rsid w:val="00302117"/>
    <w:rsid w:val="00306C92"/>
    <w:rsid w:val="00307012"/>
    <w:rsid w:val="0030788E"/>
    <w:rsid w:val="00317A00"/>
    <w:rsid w:val="00324738"/>
    <w:rsid w:val="00344FFC"/>
    <w:rsid w:val="003564B8"/>
    <w:rsid w:val="00383994"/>
    <w:rsid w:val="00393686"/>
    <w:rsid w:val="0039400E"/>
    <w:rsid w:val="003A0AC9"/>
    <w:rsid w:val="003A3DA5"/>
    <w:rsid w:val="003A4D68"/>
    <w:rsid w:val="003B38AB"/>
    <w:rsid w:val="003C7946"/>
    <w:rsid w:val="003C7E64"/>
    <w:rsid w:val="003D38DC"/>
    <w:rsid w:val="003E2B17"/>
    <w:rsid w:val="003E2E59"/>
    <w:rsid w:val="003E737B"/>
    <w:rsid w:val="003E7A69"/>
    <w:rsid w:val="003F2033"/>
    <w:rsid w:val="003F4947"/>
    <w:rsid w:val="003F680A"/>
    <w:rsid w:val="00402A6E"/>
    <w:rsid w:val="00406A66"/>
    <w:rsid w:val="00411811"/>
    <w:rsid w:val="00430BE2"/>
    <w:rsid w:val="00432DCC"/>
    <w:rsid w:val="00434B00"/>
    <w:rsid w:val="0043703C"/>
    <w:rsid w:val="00437AB0"/>
    <w:rsid w:val="004405C3"/>
    <w:rsid w:val="00442A6F"/>
    <w:rsid w:val="00451077"/>
    <w:rsid w:val="0045180F"/>
    <w:rsid w:val="00454417"/>
    <w:rsid w:val="00461207"/>
    <w:rsid w:val="004655FB"/>
    <w:rsid w:val="0047071B"/>
    <w:rsid w:val="00470A0A"/>
    <w:rsid w:val="00485144"/>
    <w:rsid w:val="0048675A"/>
    <w:rsid w:val="004A2739"/>
    <w:rsid w:val="004B0A1A"/>
    <w:rsid w:val="004B5B63"/>
    <w:rsid w:val="004C18E8"/>
    <w:rsid w:val="004C289E"/>
    <w:rsid w:val="004C3631"/>
    <w:rsid w:val="004C6787"/>
    <w:rsid w:val="004C734D"/>
    <w:rsid w:val="004D26C0"/>
    <w:rsid w:val="004E065E"/>
    <w:rsid w:val="004E3C4C"/>
    <w:rsid w:val="004F3D93"/>
    <w:rsid w:val="00506EAE"/>
    <w:rsid w:val="00507B24"/>
    <w:rsid w:val="0051205C"/>
    <w:rsid w:val="0052303E"/>
    <w:rsid w:val="00534007"/>
    <w:rsid w:val="00544A54"/>
    <w:rsid w:val="0055024E"/>
    <w:rsid w:val="00560A51"/>
    <w:rsid w:val="00561059"/>
    <w:rsid w:val="0057569C"/>
    <w:rsid w:val="005813F5"/>
    <w:rsid w:val="00581C14"/>
    <w:rsid w:val="00584234"/>
    <w:rsid w:val="005844F8"/>
    <w:rsid w:val="005860B8"/>
    <w:rsid w:val="00593D74"/>
    <w:rsid w:val="005A1580"/>
    <w:rsid w:val="005A1E09"/>
    <w:rsid w:val="005A3311"/>
    <w:rsid w:val="005A332F"/>
    <w:rsid w:val="005A60B8"/>
    <w:rsid w:val="005B0BAC"/>
    <w:rsid w:val="005C7B51"/>
    <w:rsid w:val="005D549A"/>
    <w:rsid w:val="005D74DD"/>
    <w:rsid w:val="005E6A9B"/>
    <w:rsid w:val="005F0582"/>
    <w:rsid w:val="005F0A0C"/>
    <w:rsid w:val="005F2B76"/>
    <w:rsid w:val="006048F6"/>
    <w:rsid w:val="006050FD"/>
    <w:rsid w:val="00606809"/>
    <w:rsid w:val="00606F4D"/>
    <w:rsid w:val="00607A73"/>
    <w:rsid w:val="006222EE"/>
    <w:rsid w:val="006225AD"/>
    <w:rsid w:val="00627D66"/>
    <w:rsid w:val="0064073B"/>
    <w:rsid w:val="00643A09"/>
    <w:rsid w:val="00647C1A"/>
    <w:rsid w:val="00653696"/>
    <w:rsid w:val="00656B26"/>
    <w:rsid w:val="00657A41"/>
    <w:rsid w:val="00663A31"/>
    <w:rsid w:val="006674EF"/>
    <w:rsid w:val="0067276C"/>
    <w:rsid w:val="00673015"/>
    <w:rsid w:val="00677C1D"/>
    <w:rsid w:val="00677D79"/>
    <w:rsid w:val="006871A3"/>
    <w:rsid w:val="006A05AB"/>
    <w:rsid w:val="006A2FC7"/>
    <w:rsid w:val="006C5368"/>
    <w:rsid w:val="006D39AD"/>
    <w:rsid w:val="006E5173"/>
    <w:rsid w:val="00707A04"/>
    <w:rsid w:val="00710A82"/>
    <w:rsid w:val="00711092"/>
    <w:rsid w:val="00711FD0"/>
    <w:rsid w:val="00720686"/>
    <w:rsid w:val="00730792"/>
    <w:rsid w:val="00734B13"/>
    <w:rsid w:val="00735301"/>
    <w:rsid w:val="00736E68"/>
    <w:rsid w:val="00736EB7"/>
    <w:rsid w:val="00754CAD"/>
    <w:rsid w:val="00756732"/>
    <w:rsid w:val="007615B2"/>
    <w:rsid w:val="00763E8D"/>
    <w:rsid w:val="007640B0"/>
    <w:rsid w:val="00764B1C"/>
    <w:rsid w:val="00780B93"/>
    <w:rsid w:val="00785815"/>
    <w:rsid w:val="00786C5F"/>
    <w:rsid w:val="007B23D9"/>
    <w:rsid w:val="007B2CD3"/>
    <w:rsid w:val="007B2D83"/>
    <w:rsid w:val="007B7B7A"/>
    <w:rsid w:val="007D1916"/>
    <w:rsid w:val="007D54E9"/>
    <w:rsid w:val="007E0ACD"/>
    <w:rsid w:val="007E114E"/>
    <w:rsid w:val="00801FC9"/>
    <w:rsid w:val="00803B03"/>
    <w:rsid w:val="00804211"/>
    <w:rsid w:val="0080438F"/>
    <w:rsid w:val="00810B61"/>
    <w:rsid w:val="0081210F"/>
    <w:rsid w:val="008301C4"/>
    <w:rsid w:val="00830F62"/>
    <w:rsid w:val="00836ABA"/>
    <w:rsid w:val="00840C66"/>
    <w:rsid w:val="00841072"/>
    <w:rsid w:val="008415DF"/>
    <w:rsid w:val="008512B8"/>
    <w:rsid w:val="00854F6B"/>
    <w:rsid w:val="00861F8F"/>
    <w:rsid w:val="00865D9A"/>
    <w:rsid w:val="00880AFD"/>
    <w:rsid w:val="0088379F"/>
    <w:rsid w:val="008C1364"/>
    <w:rsid w:val="008D28D9"/>
    <w:rsid w:val="008D303B"/>
    <w:rsid w:val="008D427D"/>
    <w:rsid w:val="00901F62"/>
    <w:rsid w:val="00920F21"/>
    <w:rsid w:val="009210E4"/>
    <w:rsid w:val="0092133A"/>
    <w:rsid w:val="00934CBC"/>
    <w:rsid w:val="009412CD"/>
    <w:rsid w:val="00942CD3"/>
    <w:rsid w:val="00942D3E"/>
    <w:rsid w:val="009634C8"/>
    <w:rsid w:val="009709D5"/>
    <w:rsid w:val="0097316F"/>
    <w:rsid w:val="009760B6"/>
    <w:rsid w:val="0098720A"/>
    <w:rsid w:val="00997ACE"/>
    <w:rsid w:val="009A2F05"/>
    <w:rsid w:val="009A4F5F"/>
    <w:rsid w:val="009B117D"/>
    <w:rsid w:val="009B265E"/>
    <w:rsid w:val="009B273F"/>
    <w:rsid w:val="009B62F6"/>
    <w:rsid w:val="009C28DB"/>
    <w:rsid w:val="009C2C57"/>
    <w:rsid w:val="009C635A"/>
    <w:rsid w:val="009E2BC6"/>
    <w:rsid w:val="009E44F3"/>
    <w:rsid w:val="00A13AAB"/>
    <w:rsid w:val="00A17BB1"/>
    <w:rsid w:val="00A271FD"/>
    <w:rsid w:val="00A2746E"/>
    <w:rsid w:val="00A324DD"/>
    <w:rsid w:val="00A32528"/>
    <w:rsid w:val="00A32772"/>
    <w:rsid w:val="00A33705"/>
    <w:rsid w:val="00A441EB"/>
    <w:rsid w:val="00A51E02"/>
    <w:rsid w:val="00A52BE2"/>
    <w:rsid w:val="00A55425"/>
    <w:rsid w:val="00A640FE"/>
    <w:rsid w:val="00A77B75"/>
    <w:rsid w:val="00A85EB7"/>
    <w:rsid w:val="00A9041D"/>
    <w:rsid w:val="00A90B1D"/>
    <w:rsid w:val="00A9168F"/>
    <w:rsid w:val="00A922E5"/>
    <w:rsid w:val="00A95AAA"/>
    <w:rsid w:val="00AA5A4E"/>
    <w:rsid w:val="00AC60BF"/>
    <w:rsid w:val="00AC7B35"/>
    <w:rsid w:val="00AD2617"/>
    <w:rsid w:val="00AE4E9E"/>
    <w:rsid w:val="00B04A5D"/>
    <w:rsid w:val="00B063DE"/>
    <w:rsid w:val="00B13A78"/>
    <w:rsid w:val="00B22939"/>
    <w:rsid w:val="00B2774B"/>
    <w:rsid w:val="00B47F31"/>
    <w:rsid w:val="00B50BC0"/>
    <w:rsid w:val="00B57628"/>
    <w:rsid w:val="00B63736"/>
    <w:rsid w:val="00B64385"/>
    <w:rsid w:val="00B7189A"/>
    <w:rsid w:val="00B7733D"/>
    <w:rsid w:val="00B87CD9"/>
    <w:rsid w:val="00B905BD"/>
    <w:rsid w:val="00B92693"/>
    <w:rsid w:val="00B957BC"/>
    <w:rsid w:val="00BA6E4F"/>
    <w:rsid w:val="00BD18D1"/>
    <w:rsid w:val="00BE08BB"/>
    <w:rsid w:val="00BE1878"/>
    <w:rsid w:val="00BE59E7"/>
    <w:rsid w:val="00C07644"/>
    <w:rsid w:val="00C11C8F"/>
    <w:rsid w:val="00C3260F"/>
    <w:rsid w:val="00C3642B"/>
    <w:rsid w:val="00C40D18"/>
    <w:rsid w:val="00C67352"/>
    <w:rsid w:val="00C72C97"/>
    <w:rsid w:val="00C72DF6"/>
    <w:rsid w:val="00C75C54"/>
    <w:rsid w:val="00C8470A"/>
    <w:rsid w:val="00C92643"/>
    <w:rsid w:val="00C95D69"/>
    <w:rsid w:val="00CA00F1"/>
    <w:rsid w:val="00CA2C33"/>
    <w:rsid w:val="00CB0CA7"/>
    <w:rsid w:val="00CB2F3E"/>
    <w:rsid w:val="00CC2766"/>
    <w:rsid w:val="00CC75D5"/>
    <w:rsid w:val="00CC78A6"/>
    <w:rsid w:val="00CD11C7"/>
    <w:rsid w:val="00CE4482"/>
    <w:rsid w:val="00CE6DAF"/>
    <w:rsid w:val="00CE70B8"/>
    <w:rsid w:val="00CE7C32"/>
    <w:rsid w:val="00CF3F70"/>
    <w:rsid w:val="00D040AC"/>
    <w:rsid w:val="00D20E7B"/>
    <w:rsid w:val="00D35541"/>
    <w:rsid w:val="00D5337E"/>
    <w:rsid w:val="00D543E3"/>
    <w:rsid w:val="00D7480D"/>
    <w:rsid w:val="00D8047C"/>
    <w:rsid w:val="00D835C6"/>
    <w:rsid w:val="00D83EAB"/>
    <w:rsid w:val="00D83FDA"/>
    <w:rsid w:val="00D84966"/>
    <w:rsid w:val="00D9794E"/>
    <w:rsid w:val="00DA321B"/>
    <w:rsid w:val="00DA3E8B"/>
    <w:rsid w:val="00DB14B0"/>
    <w:rsid w:val="00DB345F"/>
    <w:rsid w:val="00DB6AD6"/>
    <w:rsid w:val="00DB7F5E"/>
    <w:rsid w:val="00DE39EC"/>
    <w:rsid w:val="00DE75AF"/>
    <w:rsid w:val="00DF710E"/>
    <w:rsid w:val="00E034DA"/>
    <w:rsid w:val="00E05C24"/>
    <w:rsid w:val="00E15D10"/>
    <w:rsid w:val="00E22CDF"/>
    <w:rsid w:val="00E34793"/>
    <w:rsid w:val="00E53B2F"/>
    <w:rsid w:val="00E5598D"/>
    <w:rsid w:val="00E6116D"/>
    <w:rsid w:val="00E63ACA"/>
    <w:rsid w:val="00E6431C"/>
    <w:rsid w:val="00E65710"/>
    <w:rsid w:val="00E7395C"/>
    <w:rsid w:val="00E73EB9"/>
    <w:rsid w:val="00E822E8"/>
    <w:rsid w:val="00E94D61"/>
    <w:rsid w:val="00EA0C4D"/>
    <w:rsid w:val="00EA487E"/>
    <w:rsid w:val="00EB2C93"/>
    <w:rsid w:val="00ED5645"/>
    <w:rsid w:val="00EE27C6"/>
    <w:rsid w:val="00EF1FAD"/>
    <w:rsid w:val="00EF4B38"/>
    <w:rsid w:val="00EF6FB6"/>
    <w:rsid w:val="00F029BA"/>
    <w:rsid w:val="00F12A77"/>
    <w:rsid w:val="00F1314D"/>
    <w:rsid w:val="00F21126"/>
    <w:rsid w:val="00F324CF"/>
    <w:rsid w:val="00F479D1"/>
    <w:rsid w:val="00F47A65"/>
    <w:rsid w:val="00F50C1D"/>
    <w:rsid w:val="00F5467C"/>
    <w:rsid w:val="00F63D89"/>
    <w:rsid w:val="00F86262"/>
    <w:rsid w:val="00F86DDA"/>
    <w:rsid w:val="00F95642"/>
    <w:rsid w:val="00F97090"/>
    <w:rsid w:val="00FA11AF"/>
    <w:rsid w:val="00FA6495"/>
    <w:rsid w:val="00FB1A62"/>
    <w:rsid w:val="00FC0A82"/>
    <w:rsid w:val="00FC5FED"/>
    <w:rsid w:val="010F5A08"/>
    <w:rsid w:val="01794995"/>
    <w:rsid w:val="025C2ACD"/>
    <w:rsid w:val="026C3CC9"/>
    <w:rsid w:val="037B694E"/>
    <w:rsid w:val="041B79E1"/>
    <w:rsid w:val="049C585A"/>
    <w:rsid w:val="059029E6"/>
    <w:rsid w:val="06DB47B5"/>
    <w:rsid w:val="07E66B71"/>
    <w:rsid w:val="088756F4"/>
    <w:rsid w:val="0A5276CF"/>
    <w:rsid w:val="0BFF29A1"/>
    <w:rsid w:val="0CB35DA6"/>
    <w:rsid w:val="0D970163"/>
    <w:rsid w:val="10193A63"/>
    <w:rsid w:val="122D1B9D"/>
    <w:rsid w:val="125200DA"/>
    <w:rsid w:val="12BB1FA1"/>
    <w:rsid w:val="13187DE4"/>
    <w:rsid w:val="136454BB"/>
    <w:rsid w:val="13BFAF53"/>
    <w:rsid w:val="15CB5442"/>
    <w:rsid w:val="17282DD9"/>
    <w:rsid w:val="17C4452A"/>
    <w:rsid w:val="17DF34F6"/>
    <w:rsid w:val="19BD6F63"/>
    <w:rsid w:val="1BB308F9"/>
    <w:rsid w:val="1CBD5533"/>
    <w:rsid w:val="1F072B2E"/>
    <w:rsid w:val="1F404206"/>
    <w:rsid w:val="210778EC"/>
    <w:rsid w:val="23391F65"/>
    <w:rsid w:val="23B91264"/>
    <w:rsid w:val="23C1620C"/>
    <w:rsid w:val="244A79AB"/>
    <w:rsid w:val="279156A4"/>
    <w:rsid w:val="27C22947"/>
    <w:rsid w:val="2956542F"/>
    <w:rsid w:val="296F25ED"/>
    <w:rsid w:val="2A600449"/>
    <w:rsid w:val="2A717B3D"/>
    <w:rsid w:val="2ADE9C4D"/>
    <w:rsid w:val="2B77D1E9"/>
    <w:rsid w:val="2B7D268D"/>
    <w:rsid w:val="2B8854D1"/>
    <w:rsid w:val="2BBD3962"/>
    <w:rsid w:val="2C117536"/>
    <w:rsid w:val="2C704EAA"/>
    <w:rsid w:val="2DA83456"/>
    <w:rsid w:val="2F3129D3"/>
    <w:rsid w:val="2F882E8F"/>
    <w:rsid w:val="301042CA"/>
    <w:rsid w:val="30212A50"/>
    <w:rsid w:val="30C70D6E"/>
    <w:rsid w:val="318E1AB4"/>
    <w:rsid w:val="32D21BEC"/>
    <w:rsid w:val="32D93628"/>
    <w:rsid w:val="341819BA"/>
    <w:rsid w:val="34367C8B"/>
    <w:rsid w:val="350B2C69"/>
    <w:rsid w:val="35631793"/>
    <w:rsid w:val="36AE25A0"/>
    <w:rsid w:val="36B844C9"/>
    <w:rsid w:val="36D675A2"/>
    <w:rsid w:val="36DCE77D"/>
    <w:rsid w:val="36FC43A1"/>
    <w:rsid w:val="38004A1E"/>
    <w:rsid w:val="383E4D14"/>
    <w:rsid w:val="39414736"/>
    <w:rsid w:val="3B3635ED"/>
    <w:rsid w:val="3FDDCC09"/>
    <w:rsid w:val="3FF30901"/>
    <w:rsid w:val="410806E9"/>
    <w:rsid w:val="41812006"/>
    <w:rsid w:val="419E410A"/>
    <w:rsid w:val="43B84DBE"/>
    <w:rsid w:val="44AD63E5"/>
    <w:rsid w:val="453C4529"/>
    <w:rsid w:val="485C1012"/>
    <w:rsid w:val="48BA7F80"/>
    <w:rsid w:val="493525A3"/>
    <w:rsid w:val="49AE16C2"/>
    <w:rsid w:val="49D97FFF"/>
    <w:rsid w:val="4ACBD3A6"/>
    <w:rsid w:val="50A918FF"/>
    <w:rsid w:val="521F4C02"/>
    <w:rsid w:val="52375183"/>
    <w:rsid w:val="526135B0"/>
    <w:rsid w:val="53242B1C"/>
    <w:rsid w:val="534B08F0"/>
    <w:rsid w:val="536016B2"/>
    <w:rsid w:val="5395678C"/>
    <w:rsid w:val="53B63DD9"/>
    <w:rsid w:val="53FFA0E2"/>
    <w:rsid w:val="55933B14"/>
    <w:rsid w:val="59DC4C15"/>
    <w:rsid w:val="5AB03119"/>
    <w:rsid w:val="5B2506D8"/>
    <w:rsid w:val="5C4F026B"/>
    <w:rsid w:val="5CB728E4"/>
    <w:rsid w:val="5EA02EDB"/>
    <w:rsid w:val="5F2D9DA2"/>
    <w:rsid w:val="5FAF8AF9"/>
    <w:rsid w:val="603E57E1"/>
    <w:rsid w:val="609B00AA"/>
    <w:rsid w:val="60EF4C2A"/>
    <w:rsid w:val="61BD782B"/>
    <w:rsid w:val="628157FA"/>
    <w:rsid w:val="63E997AF"/>
    <w:rsid w:val="64BA717A"/>
    <w:rsid w:val="64C15A32"/>
    <w:rsid w:val="65791B93"/>
    <w:rsid w:val="65820A3D"/>
    <w:rsid w:val="65F4374F"/>
    <w:rsid w:val="66F581A3"/>
    <w:rsid w:val="67DF9A44"/>
    <w:rsid w:val="68211AAD"/>
    <w:rsid w:val="683DC8D8"/>
    <w:rsid w:val="69CA4CB7"/>
    <w:rsid w:val="6A3AFF87"/>
    <w:rsid w:val="6B7E9BF4"/>
    <w:rsid w:val="6BFFB3CD"/>
    <w:rsid w:val="6C983437"/>
    <w:rsid w:val="6C9C46CF"/>
    <w:rsid w:val="6CABF0B3"/>
    <w:rsid w:val="6CEA69E8"/>
    <w:rsid w:val="6CF93C9D"/>
    <w:rsid w:val="6D4A20C1"/>
    <w:rsid w:val="6D951403"/>
    <w:rsid w:val="6EF85299"/>
    <w:rsid w:val="6F4A323D"/>
    <w:rsid w:val="6FEB6381"/>
    <w:rsid w:val="6FF68CB9"/>
    <w:rsid w:val="6FFD5A32"/>
    <w:rsid w:val="70114CD6"/>
    <w:rsid w:val="7155127A"/>
    <w:rsid w:val="7493640B"/>
    <w:rsid w:val="76194789"/>
    <w:rsid w:val="769B7E4D"/>
    <w:rsid w:val="770B3F3B"/>
    <w:rsid w:val="774D4688"/>
    <w:rsid w:val="775E8F36"/>
    <w:rsid w:val="77C60865"/>
    <w:rsid w:val="787F0E64"/>
    <w:rsid w:val="78A05CA1"/>
    <w:rsid w:val="78C25017"/>
    <w:rsid w:val="7A2F59CE"/>
    <w:rsid w:val="7CFDE3CE"/>
    <w:rsid w:val="7DBB2585"/>
    <w:rsid w:val="7DFB184A"/>
    <w:rsid w:val="7EB88741"/>
    <w:rsid w:val="7EFD43EF"/>
    <w:rsid w:val="7F2834C3"/>
    <w:rsid w:val="7F9FC37C"/>
    <w:rsid w:val="7FF81A8B"/>
    <w:rsid w:val="7FFA3FE3"/>
    <w:rsid w:val="7FFF979E"/>
    <w:rsid w:val="8BF72ADA"/>
    <w:rsid w:val="8FEFCB7B"/>
    <w:rsid w:val="95FFC0E0"/>
    <w:rsid w:val="97A98A3B"/>
    <w:rsid w:val="9BEDEE43"/>
    <w:rsid w:val="A5FEB4FA"/>
    <w:rsid w:val="AEEB39CD"/>
    <w:rsid w:val="B64F0A41"/>
    <w:rsid w:val="B7FBDDA1"/>
    <w:rsid w:val="BEF66C73"/>
    <w:rsid w:val="BFA7E038"/>
    <w:rsid w:val="BFB745DB"/>
    <w:rsid w:val="BFD78B2C"/>
    <w:rsid w:val="C9EF05A3"/>
    <w:rsid w:val="CDDCA691"/>
    <w:rsid w:val="CEEEBBB3"/>
    <w:rsid w:val="D7DA8BE5"/>
    <w:rsid w:val="D7DB7607"/>
    <w:rsid w:val="DDB85BC2"/>
    <w:rsid w:val="DEFF2821"/>
    <w:rsid w:val="DF387D08"/>
    <w:rsid w:val="DFF3D44C"/>
    <w:rsid w:val="DFFB08D9"/>
    <w:rsid w:val="E19DCA65"/>
    <w:rsid w:val="E963CDBE"/>
    <w:rsid w:val="EDEA8CBA"/>
    <w:rsid w:val="EE3D3EA5"/>
    <w:rsid w:val="EEF19BA2"/>
    <w:rsid w:val="EF3F7DD3"/>
    <w:rsid w:val="EF747F72"/>
    <w:rsid w:val="EFDFA0E4"/>
    <w:rsid w:val="EFEF0158"/>
    <w:rsid w:val="F5FF75AD"/>
    <w:rsid w:val="F6FD186E"/>
    <w:rsid w:val="F76F80F8"/>
    <w:rsid w:val="F7CFE0F7"/>
    <w:rsid w:val="F9873061"/>
    <w:rsid w:val="F9FF85DD"/>
    <w:rsid w:val="FB5FDD8D"/>
    <w:rsid w:val="FE7C469A"/>
    <w:rsid w:val="FEBFCEC9"/>
    <w:rsid w:val="FEDB1DD0"/>
    <w:rsid w:val="FF5D98EC"/>
    <w:rsid w:val="FFBF6020"/>
    <w:rsid w:val="FFBFAEEC"/>
    <w:rsid w:val="FFC20CCF"/>
    <w:rsid w:val="FFCDDFC9"/>
    <w:rsid w:val="FFE38508"/>
    <w:rsid w:val="FFFAB4E2"/>
    <w:rsid w:val="FFFDD05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
    <w:pPr>
      <w:keepNext/>
      <w:keepLines/>
      <w:widowControl/>
      <w:numPr>
        <w:ilvl w:val="0"/>
        <w:numId w:val="1"/>
      </w:numPr>
      <w:spacing w:before="240" w:after="240"/>
      <w:jc w:val="left"/>
      <w:outlineLvl w:val="0"/>
    </w:pPr>
    <w:rPr>
      <w:rFonts w:ascii="Cambria" w:hAnsi="Cambria"/>
      <w:b/>
      <w:kern w:val="0"/>
      <w:sz w:val="36"/>
      <w:szCs w:val="32"/>
    </w:rPr>
  </w:style>
  <w:style w:type="paragraph" w:styleId="5">
    <w:name w:val="heading 2"/>
    <w:basedOn w:val="1"/>
    <w:next w:val="1"/>
    <w:qFormat/>
    <w:uiPriority w:val="9"/>
    <w:pPr>
      <w:keepNext/>
      <w:keepLines/>
      <w:widowControl/>
      <w:numPr>
        <w:ilvl w:val="1"/>
        <w:numId w:val="1"/>
      </w:numPr>
      <w:spacing w:before="240" w:after="240"/>
      <w:jc w:val="left"/>
      <w:outlineLvl w:val="1"/>
    </w:pPr>
    <w:rPr>
      <w:rFonts w:ascii="Cambria" w:hAnsi="Cambria"/>
      <w:kern w:val="0"/>
      <w:sz w:val="30"/>
      <w:szCs w:val="28"/>
    </w:rPr>
  </w:style>
  <w:style w:type="character" w:default="1" w:styleId="16">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unhideWhenUsed/>
    <w:qFormat/>
    <w:uiPriority w:val="99"/>
    <w:pPr>
      <w:spacing w:after="0" w:line="360" w:lineRule="auto"/>
      <w:ind w:left="0" w:leftChars="0" w:firstLine="420" w:firstLineChars="200"/>
    </w:pPr>
    <w:rPr>
      <w:rFonts w:ascii="Calibri" w:hAnsi="Calibri" w:eastAsia="仿宋_GB2312"/>
      <w:sz w:val="32"/>
      <w:szCs w:val="32"/>
    </w:rPr>
  </w:style>
  <w:style w:type="paragraph" w:styleId="3">
    <w:name w:val="Body Text Indent"/>
    <w:basedOn w:val="1"/>
    <w:qFormat/>
    <w:uiPriority w:val="0"/>
    <w:pPr>
      <w:spacing w:after="120"/>
      <w:ind w:left="420" w:leftChars="200"/>
    </w:pPr>
  </w:style>
  <w:style w:type="paragraph" w:styleId="6">
    <w:name w:val="annotation text"/>
    <w:basedOn w:val="1"/>
    <w:qFormat/>
    <w:uiPriority w:val="0"/>
    <w:pPr>
      <w:jc w:val="left"/>
    </w:pPr>
  </w:style>
  <w:style w:type="paragraph" w:styleId="7">
    <w:name w:val="Body Text"/>
    <w:basedOn w:val="1"/>
    <w:next w:val="1"/>
    <w:link w:val="20"/>
    <w:qFormat/>
    <w:uiPriority w:val="0"/>
    <w:pPr>
      <w:spacing w:before="100" w:line="360" w:lineRule="exact"/>
      <w:jc w:val="center"/>
    </w:pPr>
    <w:rPr>
      <w:rFonts w:ascii="仿宋_GB2312" w:hAnsi="华文中宋" w:eastAsia="仿宋_GB2312"/>
      <w:sz w:val="24"/>
      <w:szCs w:val="24"/>
    </w:rPr>
  </w:style>
  <w:style w:type="paragraph" w:styleId="8">
    <w:name w:val="Date"/>
    <w:basedOn w:val="1"/>
    <w:next w:val="1"/>
    <w:qFormat/>
    <w:uiPriority w:val="0"/>
    <w:pPr>
      <w:ind w:left="100" w:leftChars="2500"/>
    </w:pPr>
    <w:rPr>
      <w:rFonts w:ascii="仿宋_GB2312" w:eastAsia="仿宋_GB2312"/>
      <w:sz w:val="32"/>
    </w:rPr>
  </w:style>
  <w:style w:type="paragraph" w:styleId="9">
    <w:name w:val="Balloon Text"/>
    <w:basedOn w:val="1"/>
    <w:semiHidden/>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Message Header"/>
    <w:basedOn w:val="1"/>
    <w:next w:val="7"/>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sz w:val="24"/>
      <w:szCs w:val="22"/>
    </w:rPr>
  </w:style>
  <w:style w:type="paragraph" w:styleId="1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rFonts w:cs="Times New Roman"/>
      <w:b/>
      <w:bCs/>
    </w:rPr>
  </w:style>
  <w:style w:type="character" w:styleId="18">
    <w:name w:val="page number"/>
    <w:qFormat/>
    <w:uiPriority w:val="0"/>
  </w:style>
  <w:style w:type="character" w:styleId="19">
    <w:name w:val="Hyperlink"/>
    <w:unhideWhenUsed/>
    <w:qFormat/>
    <w:uiPriority w:val="99"/>
    <w:rPr>
      <w:color w:val="0000FF"/>
      <w:u w:val="single"/>
    </w:rPr>
  </w:style>
  <w:style w:type="character" w:customStyle="1" w:styleId="20">
    <w:name w:val="正文文本 字符"/>
    <w:link w:val="7"/>
    <w:qFormat/>
    <w:uiPriority w:val="0"/>
    <w:rPr>
      <w:kern w:val="2"/>
      <w:sz w:val="21"/>
      <w:szCs w:val="24"/>
    </w:rPr>
  </w:style>
  <w:style w:type="character" w:customStyle="1" w:styleId="21">
    <w:name w:val="font01"/>
    <w:qFormat/>
    <w:uiPriority w:val="0"/>
    <w:rPr>
      <w:rFonts w:ascii="方正黑体_GBK" w:hAnsi="方正黑体_GBK" w:eastAsia="方正黑体_GBK" w:cs="方正黑体_GBK"/>
      <w:color w:val="000000"/>
      <w:sz w:val="28"/>
      <w:szCs w:val="28"/>
      <w:u w:val="none"/>
    </w:rPr>
  </w:style>
  <w:style w:type="character" w:customStyle="1" w:styleId="22">
    <w:name w:val="_Style 21"/>
    <w:unhideWhenUsed/>
    <w:qFormat/>
    <w:uiPriority w:val="99"/>
    <w:rPr>
      <w:color w:val="605E5C"/>
      <w:shd w:val="clear" w:color="auto" w:fill="E1DFDD"/>
    </w:rPr>
  </w:style>
  <w:style w:type="character" w:customStyle="1" w:styleId="23">
    <w:name w:val="正文-工信委 Char"/>
    <w:link w:val="24"/>
    <w:qFormat/>
    <w:uiPriority w:val="0"/>
    <w:rPr>
      <w:rFonts w:eastAsia="仿宋_GB2312"/>
      <w:sz w:val="32"/>
      <w:szCs w:val="32"/>
    </w:rPr>
  </w:style>
  <w:style w:type="paragraph" w:customStyle="1" w:styleId="24">
    <w:name w:val="正文-工信委"/>
    <w:basedOn w:val="1"/>
    <w:link w:val="23"/>
    <w:qFormat/>
    <w:uiPriority w:val="0"/>
    <w:pPr>
      <w:spacing w:line="560" w:lineRule="exact"/>
      <w:ind w:firstLine="200" w:firstLineChars="200"/>
    </w:pPr>
    <w:rPr>
      <w:rFonts w:eastAsia="仿宋_GB2312"/>
      <w:kern w:val="0"/>
      <w:sz w:val="32"/>
      <w:szCs w:val="32"/>
    </w:rPr>
  </w:style>
  <w:style w:type="character" w:customStyle="1" w:styleId="25">
    <w:name w:val="font81"/>
    <w:qFormat/>
    <w:uiPriority w:val="0"/>
    <w:rPr>
      <w:rFonts w:hint="default" w:ascii="Times New Roman" w:hAnsi="Times New Roman" w:cs="Times New Roman"/>
      <w:color w:val="000000"/>
      <w:sz w:val="24"/>
      <w:szCs w:val="24"/>
      <w:u w:val="none"/>
    </w:rPr>
  </w:style>
  <w:style w:type="character" w:customStyle="1" w:styleId="26">
    <w:name w:val="font61"/>
    <w:qFormat/>
    <w:uiPriority w:val="0"/>
    <w:rPr>
      <w:rFonts w:ascii="方正仿宋_GBK" w:hAnsi="方正仿宋_GBK" w:eastAsia="方正仿宋_GBK" w:cs="方正仿宋_GBK"/>
      <w:color w:val="000000"/>
      <w:sz w:val="24"/>
      <w:szCs w:val="24"/>
      <w:u w:val="none"/>
    </w:rPr>
  </w:style>
  <w:style w:type="paragraph" w:styleId="27">
    <w:name w:val="List Paragraph"/>
    <w:basedOn w:val="1"/>
    <w:qFormat/>
    <w:uiPriority w:val="34"/>
    <w:pPr>
      <w:ind w:firstLine="420" w:firstLineChars="200"/>
    </w:pPr>
  </w:style>
  <w:style w:type="paragraph" w:customStyle="1" w:styleId="28">
    <w:name w:val="列出段落1"/>
    <w:basedOn w:val="1"/>
    <w:qFormat/>
    <w:uiPriority w:val="34"/>
    <w:pPr>
      <w:ind w:firstLine="420" w:firstLineChars="200"/>
    </w:pPr>
    <w:rPr>
      <w:rFonts w:ascii="Times New Roman" w:hAnsi="Times New Roman" w:eastAsia="宋体" w:cs="Times New Roman"/>
      <w:szCs w:val="20"/>
    </w:rPr>
  </w:style>
  <w:style w:type="paragraph" w:customStyle="1" w:styleId="29">
    <w:name w:val="Title1"/>
    <w:qFormat/>
    <w:uiPriority w:val="0"/>
    <w:pPr>
      <w:jc w:val="center"/>
    </w:pPr>
    <w:rPr>
      <w:rFonts w:ascii="Calibri" w:hAnsi="Calibri" w:eastAsia="黑体" w:cs="Times New Roman"/>
      <w:kern w:val="2"/>
      <w:sz w:val="44"/>
      <w:szCs w:val="22"/>
      <w:lang w:val="en-US" w:eastAsia="zh-CN" w:bidi="ar-SA"/>
    </w:rPr>
  </w:style>
  <w:style w:type="paragraph" w:customStyle="1" w:styleId="30">
    <w:name w:val="text"/>
    <w:basedOn w:val="1"/>
    <w:qFormat/>
    <w:uiPriority w:val="0"/>
    <w:pPr>
      <w:spacing w:line="360" w:lineRule="auto"/>
      <w:ind w:firstLine="420"/>
    </w:pPr>
    <w:rPr>
      <w:rFonts w:ascii="Calibri" w:hAnsi="Calibri" w:eastAsia="仿宋_GB2312"/>
      <w:sz w:val="24"/>
      <w:szCs w:val="20"/>
    </w:rPr>
  </w:style>
  <w:style w:type="paragraph" w:customStyle="1" w:styleId="31">
    <w:name w:val="Heading 1"/>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D:\home\sugon\C:\Documents%20and%20Settings\Hangyan\Application%20Data\Microsoft\Templates\&#24179;&#32423;&#21457;&#2599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平级发文</Template>
  <Company>tjec</Company>
  <Pages>11</Pages>
  <Words>463</Words>
  <Characters>476</Characters>
  <Lines>31</Lines>
  <Paragraphs>8</Paragraphs>
  <TotalTime>1</TotalTime>
  <ScaleCrop>false</ScaleCrop>
  <LinksUpToDate>false</LinksUpToDate>
  <CharactersWithSpaces>476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2021-09-27T09:05:00Z</dcterms:created>
  <dc:creator>办公室</dc:creator>
  <cp:lastModifiedBy>许可</cp:lastModifiedBy>
  <cp:lastPrinted>2024-11-15T11:12:00Z</cp:lastPrinted>
  <dcterms:modified xsi:type="dcterms:W3CDTF">2026-08-11T03:53:11Z</dcterms:modified>
  <dc:title>津经[2003]号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EE1759DC39334B96A0F2A357198343DA_13</vt:lpwstr>
  </property>
  <property fmtid="{D5CDD505-2E9C-101B-9397-08002B2CF9AE}" pid="4" name="KSOTemplateDocerSaveRecord">
    <vt:lpwstr>eyJoZGlkIjoiZWYyOGY0ODA1MGQzODE1NTMzZmYwNGU3YWZhNmMxMDUiLCJ1c2VySWQiOiIzOTcyMTg2NjEifQ==</vt:lpwstr>
  </property>
</Properties>
</file>